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FFE" w:rsidRDefault="004C4FFE" w:rsidP="00535439">
      <w:pPr>
        <w:ind w:left="10773"/>
        <w:contextualSpacing/>
        <w:jc w:val="left"/>
        <w:rPr>
          <w:rFonts w:eastAsia="Calibri" w:cs="Times New Roman"/>
          <w:szCs w:val="26"/>
        </w:rPr>
      </w:pPr>
      <w:bookmarkStart w:id="0" w:name="_Toc454283229"/>
      <w:bookmarkStart w:id="1" w:name="_Toc442779981"/>
      <w:r>
        <w:rPr>
          <w:rFonts w:eastAsia="Calibri" w:cs="Times New Roman"/>
          <w:szCs w:val="26"/>
        </w:rPr>
        <w:t>Приложение 2</w:t>
      </w:r>
    </w:p>
    <w:p w:rsidR="004C4FFE" w:rsidRDefault="004C4FFE" w:rsidP="00535439">
      <w:pPr>
        <w:ind w:left="10773"/>
        <w:contextualSpacing/>
        <w:jc w:val="left"/>
        <w:rPr>
          <w:rFonts w:eastAsia="Calibri" w:cs="Times New Roman"/>
          <w:szCs w:val="26"/>
        </w:rPr>
      </w:pPr>
      <w:r>
        <w:rPr>
          <w:rFonts w:eastAsia="Calibri" w:cs="Times New Roman"/>
          <w:szCs w:val="26"/>
        </w:rPr>
        <w:t>к решению Норильского</w:t>
      </w:r>
    </w:p>
    <w:p w:rsidR="004C4FFE" w:rsidRDefault="004C4FFE" w:rsidP="00535439">
      <w:pPr>
        <w:ind w:left="10773"/>
        <w:contextualSpacing/>
        <w:jc w:val="left"/>
        <w:rPr>
          <w:rFonts w:eastAsia="Calibri" w:cs="Times New Roman"/>
          <w:szCs w:val="26"/>
        </w:rPr>
      </w:pPr>
      <w:r>
        <w:rPr>
          <w:rFonts w:eastAsia="Calibri" w:cs="Times New Roman"/>
          <w:szCs w:val="26"/>
        </w:rPr>
        <w:t>Городского Совета депутатов</w:t>
      </w:r>
    </w:p>
    <w:p w:rsidR="004C4FFE" w:rsidRDefault="004C4FFE" w:rsidP="00535439">
      <w:pPr>
        <w:ind w:left="10773"/>
        <w:contextualSpacing/>
        <w:jc w:val="left"/>
        <w:rPr>
          <w:rFonts w:eastAsia="Calibri" w:cs="Times New Roman"/>
          <w:szCs w:val="26"/>
        </w:rPr>
      </w:pPr>
      <w:r>
        <w:rPr>
          <w:rFonts w:eastAsia="Calibri" w:cs="Times New Roman"/>
          <w:szCs w:val="26"/>
        </w:rPr>
        <w:t xml:space="preserve">от 24 марта 2020 года № </w:t>
      </w:r>
      <w:r w:rsidR="00535439">
        <w:rPr>
          <w:rFonts w:eastAsia="Calibri" w:cs="Times New Roman"/>
          <w:szCs w:val="26"/>
        </w:rPr>
        <w:t>19/5-448</w:t>
      </w:r>
    </w:p>
    <w:p w:rsidR="004C4FFE" w:rsidRPr="004C4FFE" w:rsidRDefault="004C4FFE" w:rsidP="004C4FFE">
      <w:pPr>
        <w:pStyle w:val="2"/>
        <w:jc w:val="center"/>
        <w:rPr>
          <w:rFonts w:eastAsia="Times New Roman" w:cs="Times New Roman"/>
          <w:color w:val="auto"/>
          <w:sz w:val="24"/>
        </w:rPr>
      </w:pPr>
    </w:p>
    <w:p w:rsidR="004C4FFE" w:rsidRPr="004C4FFE" w:rsidRDefault="004C4FFE" w:rsidP="004C4FFE">
      <w:pPr>
        <w:pStyle w:val="2"/>
        <w:jc w:val="center"/>
        <w:rPr>
          <w:rFonts w:ascii="Times New Roman" w:eastAsia="Times New Roman" w:hAnsi="Times New Roman" w:cs="Times New Roman"/>
          <w:b/>
          <w:color w:val="auto"/>
          <w:lang w:eastAsia="ru-RU"/>
        </w:rPr>
      </w:pPr>
      <w:r w:rsidRPr="004C4FFE">
        <w:rPr>
          <w:rFonts w:ascii="Times New Roman" w:eastAsia="Times New Roman" w:hAnsi="Times New Roman" w:cs="Times New Roman"/>
          <w:b/>
          <w:color w:val="auto"/>
          <w:lang w:eastAsia="ru-RU"/>
        </w:rPr>
        <w:t>Раздел 6. Источники инвестиций, тарифы и доступность программы для населения</w:t>
      </w:r>
    </w:p>
    <w:p w:rsidR="004C4FFE" w:rsidRDefault="004C4FFE" w:rsidP="004C4FFE">
      <w:pPr>
        <w:tabs>
          <w:tab w:val="left" w:pos="720"/>
        </w:tabs>
        <w:rPr>
          <w:rFonts w:eastAsia="Times New Roman" w:cs="Times New Roman"/>
          <w:szCs w:val="26"/>
          <w:lang w:eastAsia="ru-RU"/>
        </w:rPr>
      </w:pPr>
      <w:r>
        <w:rPr>
          <w:rFonts w:eastAsia="Times New Roman" w:cs="Times New Roman"/>
          <w:szCs w:val="26"/>
          <w:lang w:eastAsia="ru-RU"/>
        </w:rPr>
        <w:t xml:space="preserve">Объем финансовых потребностей для финансирования инвестиционных проектов представлен в следующей таблице. </w:t>
      </w:r>
    </w:p>
    <w:p w:rsidR="004C4FFE" w:rsidRDefault="004C4FFE" w:rsidP="004C4FFE">
      <w:pPr>
        <w:tabs>
          <w:tab w:val="left" w:pos="720"/>
        </w:tabs>
        <w:jc w:val="right"/>
        <w:rPr>
          <w:rFonts w:eastAsia="Times New Roman" w:cs="Times New Roman"/>
          <w:szCs w:val="26"/>
          <w:lang w:eastAsia="ru-RU"/>
        </w:rPr>
      </w:pPr>
      <w:r>
        <w:rPr>
          <w:rFonts w:eastAsia="Times New Roman" w:cs="Times New Roman"/>
          <w:szCs w:val="26"/>
          <w:lang w:eastAsia="ru-RU"/>
        </w:rPr>
        <w:t>Таблица 6.1</w:t>
      </w:r>
    </w:p>
    <w:p w:rsidR="004C4FFE" w:rsidRDefault="004C4FFE" w:rsidP="004C4FFE">
      <w:pPr>
        <w:widowControl w:val="0"/>
        <w:autoSpaceDE w:val="0"/>
        <w:autoSpaceDN w:val="0"/>
        <w:adjustRightInd w:val="0"/>
        <w:spacing w:after="240"/>
        <w:jc w:val="center"/>
        <w:rPr>
          <w:rFonts w:eastAsia="Calibri" w:cs="Times New Roman"/>
          <w:szCs w:val="26"/>
        </w:rPr>
      </w:pPr>
      <w:r>
        <w:rPr>
          <w:rFonts w:eastAsia="Calibri" w:cs="Times New Roman"/>
          <w:szCs w:val="26"/>
        </w:rPr>
        <w:t xml:space="preserve">Совокупная потребность в капитальных вложениях для реализации Программы комплексного развития коммунальной инфраструктуры </w:t>
      </w:r>
      <w:r w:rsidR="00E500DE">
        <w:rPr>
          <w:rFonts w:eastAsia="Calibri" w:cs="Times New Roman"/>
          <w:szCs w:val="26"/>
        </w:rPr>
        <w:t>муниципального образования</w:t>
      </w:r>
      <w:bookmarkStart w:id="2" w:name="_GoBack"/>
      <w:bookmarkEnd w:id="2"/>
      <w:r>
        <w:rPr>
          <w:rFonts w:eastAsia="Calibri" w:cs="Times New Roman"/>
          <w:szCs w:val="26"/>
        </w:rPr>
        <w:t xml:space="preserve"> город Норильск, тыс. руб.</w:t>
      </w:r>
    </w:p>
    <w:tbl>
      <w:tblPr>
        <w:tblW w:w="14945" w:type="dxa"/>
        <w:jc w:val="center"/>
        <w:tblLook w:val="04A0" w:firstRow="1" w:lastRow="0" w:firstColumn="1" w:lastColumn="0" w:noHBand="0" w:noVBand="1"/>
      </w:tblPr>
      <w:tblGrid>
        <w:gridCol w:w="4379"/>
        <w:gridCol w:w="1026"/>
        <w:gridCol w:w="936"/>
        <w:gridCol w:w="936"/>
        <w:gridCol w:w="1026"/>
        <w:gridCol w:w="936"/>
        <w:gridCol w:w="1026"/>
        <w:gridCol w:w="936"/>
        <w:gridCol w:w="936"/>
        <w:gridCol w:w="936"/>
        <w:gridCol w:w="936"/>
        <w:gridCol w:w="936"/>
      </w:tblGrid>
      <w:tr w:rsidR="004C4FFE" w:rsidTr="004C4FFE">
        <w:trPr>
          <w:cantSplit/>
          <w:trHeight w:val="283"/>
          <w:tblHeader/>
          <w:jc w:val="center"/>
        </w:trPr>
        <w:tc>
          <w:tcPr>
            <w:tcW w:w="4379" w:type="dxa"/>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Мероприятия</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Всего</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2016</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2017</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2018</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2019</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2020</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2021</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2022</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2023</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2024</w:t>
            </w:r>
          </w:p>
        </w:tc>
        <w:tc>
          <w:tcPr>
            <w:tcW w:w="0" w:type="auto"/>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2025</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ЭЛЕКТРОСНАБЖЕНИЕ</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22 881 303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3 939 807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5 167 452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6 590 523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2 135 946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2 062 169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1 575 206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444 061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437 219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304 466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224 454</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Плата за присоединение</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4 951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3 190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1 761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22 876 352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3 936 617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5 165 691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6 590 523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2 135 946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2 062 169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1 575 206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444 061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437 219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304 466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224 454</w:t>
            </w:r>
          </w:p>
        </w:tc>
      </w:tr>
      <w:tr w:rsidR="004C4FFE" w:rsidTr="004C4FFE">
        <w:trPr>
          <w:cantSplit/>
          <w:trHeight w:val="283"/>
          <w:jc w:val="center"/>
        </w:trPr>
        <w:tc>
          <w:tcPr>
            <w:tcW w:w="14945" w:type="dxa"/>
            <w:gridSpan w:val="12"/>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ТЕПЛОСНАБЖЕНИЕ</w:t>
            </w:r>
          </w:p>
        </w:tc>
        <w:tc>
          <w:tcPr>
            <w:tcW w:w="0" w:type="auto"/>
            <w:tcBorders>
              <w:top w:val="nil"/>
              <w:left w:val="nil"/>
              <w:bottom w:val="single" w:sz="4" w:space="0" w:color="auto"/>
              <w:right w:val="single" w:sz="4" w:space="0" w:color="auto"/>
            </w:tcBorders>
            <w:hideMark/>
          </w:tcPr>
          <w:p w:rsidR="004C4FFE" w:rsidRDefault="004C4FFE">
            <w:pPr>
              <w:jc w:val="center"/>
              <w:rPr>
                <w:b/>
                <w:sz w:val="18"/>
                <w:szCs w:val="18"/>
              </w:rPr>
            </w:pPr>
            <w:r>
              <w:rPr>
                <w:b/>
                <w:sz w:val="18"/>
                <w:szCs w:val="18"/>
              </w:rPr>
              <w:t>24 175 364</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1 829 357</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1 676 636</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1 814 675</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2 340 517</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6 416 687</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1 735 547</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5 291 226</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1 114 434</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1 022 821</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933 465</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Федеральный бюджет</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53 677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29 919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23 757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Краевой бюджет</w:t>
            </w:r>
          </w:p>
        </w:tc>
        <w:tc>
          <w:tcPr>
            <w:tcW w:w="0" w:type="auto"/>
            <w:tcBorders>
              <w:top w:val="nil"/>
              <w:left w:val="nil"/>
              <w:bottom w:val="single" w:sz="4" w:space="0" w:color="auto"/>
              <w:right w:val="single" w:sz="4" w:space="0" w:color="auto"/>
            </w:tcBorders>
            <w:hideMark/>
          </w:tcPr>
          <w:p w:rsidR="004C4FFE" w:rsidRDefault="004C4FFE">
            <w:pPr>
              <w:jc w:val="center"/>
              <w:rPr>
                <w:b/>
                <w:sz w:val="18"/>
                <w:szCs w:val="18"/>
              </w:rPr>
            </w:pPr>
            <w:r>
              <w:rPr>
                <w:b/>
                <w:sz w:val="18"/>
                <w:szCs w:val="18"/>
              </w:rPr>
              <w:t>137 764</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31 596</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30 002</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31 381</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24 988</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19 798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Местный бюджет</w:t>
            </w:r>
          </w:p>
        </w:tc>
        <w:tc>
          <w:tcPr>
            <w:tcW w:w="0" w:type="auto"/>
            <w:tcBorders>
              <w:top w:val="nil"/>
              <w:left w:val="nil"/>
              <w:bottom w:val="single" w:sz="4" w:space="0" w:color="auto"/>
              <w:right w:val="single" w:sz="4" w:space="0" w:color="auto"/>
            </w:tcBorders>
            <w:hideMark/>
          </w:tcPr>
          <w:p w:rsidR="004C4FFE" w:rsidRDefault="004C4FFE">
            <w:pPr>
              <w:jc w:val="center"/>
              <w:rPr>
                <w:b/>
                <w:sz w:val="18"/>
                <w:szCs w:val="18"/>
              </w:rPr>
            </w:pPr>
            <w:r>
              <w:rPr>
                <w:b/>
                <w:sz w:val="18"/>
                <w:szCs w:val="18"/>
              </w:rPr>
              <w:t>992 814</w:t>
            </w:r>
          </w:p>
        </w:tc>
        <w:tc>
          <w:tcPr>
            <w:tcW w:w="0" w:type="auto"/>
            <w:tcBorders>
              <w:top w:val="nil"/>
              <w:left w:val="nil"/>
              <w:bottom w:val="single" w:sz="4" w:space="0" w:color="auto"/>
              <w:right w:val="single" w:sz="4" w:space="0" w:color="auto"/>
            </w:tcBorders>
            <w:hideMark/>
          </w:tcPr>
          <w:p w:rsidR="004C4FFE" w:rsidRDefault="004C4FFE">
            <w:pPr>
              <w:rPr>
                <w:b/>
                <w:sz w:val="18"/>
                <w:szCs w:val="18"/>
              </w:rPr>
            </w:pPr>
          </w:p>
        </w:tc>
        <w:tc>
          <w:tcPr>
            <w:tcW w:w="0" w:type="auto"/>
            <w:tcBorders>
              <w:top w:val="nil"/>
              <w:left w:val="nil"/>
              <w:bottom w:val="single" w:sz="4" w:space="0" w:color="auto"/>
              <w:right w:val="single" w:sz="4" w:space="0" w:color="auto"/>
            </w:tcBorders>
            <w:hideMark/>
          </w:tcPr>
          <w:p w:rsidR="004C4FFE" w:rsidRDefault="004C4FFE">
            <w:pPr>
              <w:jc w:val="left"/>
              <w:rPr>
                <w:rFonts w:asciiTheme="minorHAnsi" w:hAnsiTheme="minorHAnsi"/>
                <w:sz w:val="20"/>
                <w:szCs w:val="20"/>
                <w:lang w:eastAsia="ru-RU"/>
              </w:rPr>
            </w:pPr>
          </w:p>
        </w:tc>
        <w:tc>
          <w:tcPr>
            <w:tcW w:w="0" w:type="auto"/>
            <w:tcBorders>
              <w:top w:val="nil"/>
              <w:left w:val="nil"/>
              <w:bottom w:val="single" w:sz="4" w:space="0" w:color="auto"/>
              <w:right w:val="single" w:sz="4" w:space="0" w:color="auto"/>
            </w:tcBorders>
            <w:hideMark/>
          </w:tcPr>
          <w:p w:rsidR="004C4FFE" w:rsidRDefault="004C4FFE">
            <w:pPr>
              <w:jc w:val="left"/>
              <w:rPr>
                <w:rFonts w:asciiTheme="minorHAnsi" w:hAnsiTheme="minorHAnsi"/>
                <w:sz w:val="20"/>
                <w:szCs w:val="20"/>
                <w:lang w:eastAsia="ru-RU"/>
              </w:rPr>
            </w:pP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345 920</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322 233</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324 660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216 719</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49 686</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47 180</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49 315</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39 294</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31 245</w:t>
            </w:r>
          </w:p>
        </w:tc>
        <w:tc>
          <w:tcPr>
            <w:tcW w:w="0" w:type="auto"/>
            <w:tcBorders>
              <w:top w:val="nil"/>
              <w:left w:val="nil"/>
              <w:bottom w:val="single" w:sz="4" w:space="0" w:color="auto"/>
              <w:right w:val="single" w:sz="4" w:space="0" w:color="auto"/>
            </w:tcBorders>
            <w:vAlign w:val="center"/>
            <w:hideMark/>
          </w:tcPr>
          <w:p w:rsidR="004C4FFE" w:rsidRDefault="004C4FFE">
            <w:pPr>
              <w:rPr>
                <w:sz w:val="18"/>
                <w:szCs w:val="18"/>
              </w:rPr>
            </w:pP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Средства предприятия</w:t>
            </w:r>
          </w:p>
        </w:tc>
        <w:tc>
          <w:tcPr>
            <w:tcW w:w="0" w:type="auto"/>
            <w:tcBorders>
              <w:top w:val="nil"/>
              <w:left w:val="nil"/>
              <w:bottom w:val="single" w:sz="4" w:space="0" w:color="auto"/>
              <w:right w:val="single" w:sz="4" w:space="0" w:color="auto"/>
            </w:tcBorders>
            <w:hideMark/>
          </w:tcPr>
          <w:p w:rsidR="004C4FFE" w:rsidRDefault="004C4FFE">
            <w:pPr>
              <w:jc w:val="center"/>
              <w:rPr>
                <w:b/>
                <w:sz w:val="18"/>
                <w:szCs w:val="18"/>
              </w:rPr>
            </w:pPr>
            <w:r>
              <w:rPr>
                <w:b/>
                <w:sz w:val="18"/>
                <w:szCs w:val="18"/>
              </w:rPr>
              <w:t>9 263 985</w:t>
            </w:r>
          </w:p>
        </w:tc>
        <w:tc>
          <w:tcPr>
            <w:tcW w:w="0" w:type="auto"/>
            <w:tcBorders>
              <w:top w:val="nil"/>
              <w:left w:val="nil"/>
              <w:bottom w:val="single" w:sz="4" w:space="0" w:color="auto"/>
              <w:right w:val="single" w:sz="4" w:space="0" w:color="auto"/>
            </w:tcBorders>
            <w:hideMark/>
          </w:tcPr>
          <w:p w:rsidR="004C4FFE" w:rsidRDefault="004C4FFE">
            <w:pPr>
              <w:rPr>
                <w:b/>
                <w:sz w:val="18"/>
                <w:szCs w:val="18"/>
              </w:rPr>
            </w:pPr>
          </w:p>
        </w:tc>
        <w:tc>
          <w:tcPr>
            <w:tcW w:w="0" w:type="auto"/>
            <w:tcBorders>
              <w:top w:val="nil"/>
              <w:left w:val="nil"/>
              <w:bottom w:val="single" w:sz="4" w:space="0" w:color="auto"/>
              <w:right w:val="single" w:sz="4" w:space="0" w:color="auto"/>
            </w:tcBorders>
            <w:hideMark/>
          </w:tcPr>
          <w:p w:rsidR="004C4FFE" w:rsidRDefault="004C4FFE">
            <w:pPr>
              <w:jc w:val="left"/>
              <w:rPr>
                <w:rFonts w:asciiTheme="minorHAnsi" w:hAnsiTheme="minorHAnsi"/>
                <w:sz w:val="20"/>
                <w:szCs w:val="20"/>
                <w:lang w:eastAsia="ru-RU"/>
              </w:rPr>
            </w:pPr>
          </w:p>
        </w:tc>
        <w:tc>
          <w:tcPr>
            <w:tcW w:w="0" w:type="auto"/>
            <w:tcBorders>
              <w:top w:val="nil"/>
              <w:left w:val="nil"/>
              <w:bottom w:val="single" w:sz="4" w:space="0" w:color="auto"/>
              <w:right w:val="single" w:sz="4" w:space="0" w:color="auto"/>
            </w:tcBorders>
            <w:hideMark/>
          </w:tcPr>
          <w:p w:rsidR="004C4FFE" w:rsidRDefault="004C4FFE">
            <w:pPr>
              <w:jc w:val="left"/>
              <w:rPr>
                <w:rFonts w:asciiTheme="minorHAnsi" w:hAnsiTheme="minorHAnsi"/>
                <w:sz w:val="20"/>
                <w:szCs w:val="20"/>
                <w:lang w:eastAsia="ru-RU"/>
              </w:rPr>
            </w:pP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348 460</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4 122 395</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245 787</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4 186 901</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205 277</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77 583</w:t>
            </w:r>
          </w:p>
        </w:tc>
        <w:tc>
          <w:tcPr>
            <w:tcW w:w="0" w:type="auto"/>
            <w:tcBorders>
              <w:top w:val="nil"/>
              <w:left w:val="nil"/>
              <w:bottom w:val="single" w:sz="4" w:space="0" w:color="auto"/>
              <w:right w:val="single" w:sz="4" w:space="0" w:color="auto"/>
            </w:tcBorders>
            <w:hideMark/>
          </w:tcPr>
          <w:p w:rsidR="004C4FFE" w:rsidRDefault="004C4FFE">
            <w:pPr>
              <w:jc w:val="center"/>
              <w:rPr>
                <w:sz w:val="18"/>
                <w:szCs w:val="18"/>
              </w:rPr>
            </w:pPr>
            <w:r>
              <w:rPr>
                <w:sz w:val="18"/>
                <w:szCs w:val="18"/>
              </w:rPr>
              <w:t>77 583</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13 510 406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1 748 075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1 599 454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1 733 980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1 551 937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1 897 258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1 165 100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1 104 325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909 157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945 238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855 882</w:t>
            </w:r>
          </w:p>
        </w:tc>
      </w:tr>
      <w:tr w:rsidR="004C4FFE" w:rsidTr="004C4FFE">
        <w:trPr>
          <w:cantSplit/>
          <w:trHeight w:val="283"/>
          <w:jc w:val="center"/>
        </w:trPr>
        <w:tc>
          <w:tcPr>
            <w:tcW w:w="14945" w:type="dxa"/>
            <w:gridSpan w:val="12"/>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ВОДОСНАБЖЕНИЕ</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16 427 240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1 248 666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1 574 320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2 528 876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2 059 753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2 063 052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1 768 464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1 732 120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1 487 608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1 102 879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861 503</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Федеральный бюджет</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18 676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11 233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7 443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Краевой бюджет</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49 560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11 417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10 925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11 655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9 361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6 203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Местный бюджет</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117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78 107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17 994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17 217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18 368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14 752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9 775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Средства предприятия</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75 828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37 914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37 914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Плата за присоединение</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21 476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21 476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lastRenderedPageBreak/>
              <w:t>Индивидуальный тариф</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16 183 477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1 159 840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1 508 240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2 498 820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2 024 386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2 039 617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1 768 464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1 732 120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1 487 608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1 102 879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861 503</w:t>
            </w:r>
          </w:p>
        </w:tc>
      </w:tr>
      <w:tr w:rsidR="004C4FFE" w:rsidTr="004C4FFE">
        <w:trPr>
          <w:cantSplit/>
          <w:trHeight w:val="283"/>
          <w:jc w:val="center"/>
        </w:trPr>
        <w:tc>
          <w:tcPr>
            <w:tcW w:w="14945" w:type="dxa"/>
            <w:gridSpan w:val="12"/>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hideMark/>
          </w:tcPr>
          <w:p w:rsidR="004C4FFE" w:rsidRDefault="004C4FFE">
            <w:pPr>
              <w:rPr>
                <w:rFonts w:cs="Times New Roman"/>
                <w:b/>
                <w:sz w:val="18"/>
                <w:szCs w:val="18"/>
              </w:rPr>
            </w:pPr>
            <w:r>
              <w:rPr>
                <w:rFonts w:cs="Times New Roman"/>
                <w:b/>
                <w:sz w:val="18"/>
                <w:szCs w:val="18"/>
              </w:rPr>
              <w:t>ВОДООТВЕДЕНИЕ</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2 320 506</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128 542</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339 379</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421 147</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478 935</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332 592</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135 000</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145 760</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190 000</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126 200</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22 950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hideMark/>
          </w:tcPr>
          <w:p w:rsidR="004C4FFE" w:rsidRDefault="004C4FFE">
            <w:pPr>
              <w:rPr>
                <w:rFonts w:cs="Times New Roman"/>
                <w:sz w:val="18"/>
                <w:szCs w:val="18"/>
              </w:rPr>
            </w:pPr>
            <w:r>
              <w:rPr>
                <w:rFonts w:cs="Times New Roman"/>
                <w:sz w:val="18"/>
                <w:szCs w:val="18"/>
              </w:rPr>
              <w:t>Федеральный бюджет</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47 647</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18 848</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28 799</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Краевой бюджет</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62 956</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7 056</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9 139</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7 054</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15 707</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24 000</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Местный бюджет</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30 143</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16</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10 020</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10 020</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10 035</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53</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Внебюджетные источники</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720 298</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11 120</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221 430</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218 144</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231 780</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37 823</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hideMark/>
          </w:tcPr>
          <w:p w:rsidR="004C4FFE" w:rsidRDefault="004C4FFE">
            <w:pPr>
              <w:rPr>
                <w:rFonts w:cs="Times New Roman"/>
                <w:sz w:val="18"/>
                <w:szCs w:val="18"/>
              </w:rPr>
            </w:pPr>
            <w:r>
              <w:rPr>
                <w:rFonts w:cs="Times New Roman"/>
                <w:sz w:val="18"/>
                <w:szCs w:val="18"/>
              </w:rPr>
              <w:t>Средства предприятия</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486 667</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86 526</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92 150</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97 218</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102 565</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108 207</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hideMark/>
          </w:tcPr>
          <w:p w:rsidR="004C4FFE" w:rsidRDefault="004C4FFE">
            <w:pPr>
              <w:rPr>
                <w:rFonts w:cs="Times New Roman"/>
                <w:sz w:val="18"/>
                <w:szCs w:val="18"/>
              </w:rPr>
            </w:pPr>
            <w:r>
              <w:rPr>
                <w:rFonts w:cs="Times New Roman"/>
                <w:sz w:val="18"/>
                <w:szCs w:val="18"/>
              </w:rPr>
              <w:t>Плата за присоединение</w:t>
            </w:r>
          </w:p>
        </w:tc>
        <w:tc>
          <w:tcPr>
            <w:tcW w:w="0" w:type="auto"/>
            <w:tcBorders>
              <w:top w:val="nil"/>
              <w:left w:val="nil"/>
              <w:bottom w:val="single" w:sz="4" w:space="0" w:color="auto"/>
              <w:right w:val="single" w:sz="4" w:space="0" w:color="auto"/>
            </w:tcBorders>
            <w:hideMark/>
          </w:tcPr>
          <w:p w:rsidR="004C4FFE" w:rsidRDefault="004C4FFE">
            <w:pPr>
              <w:rPr>
                <w:rFonts w:cs="Times New Roman"/>
                <w:b/>
                <w:sz w:val="18"/>
                <w:szCs w:val="18"/>
              </w:rPr>
            </w:pPr>
            <w:r>
              <w:rPr>
                <w:rFonts w:cs="Times New Roman"/>
                <w:b/>
                <w:sz w:val="18"/>
                <w:szCs w:val="18"/>
              </w:rPr>
              <w:t>8 824</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8 824</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c>
          <w:tcPr>
            <w:tcW w:w="0" w:type="auto"/>
            <w:tcBorders>
              <w:top w:val="nil"/>
              <w:left w:val="nil"/>
              <w:bottom w:val="single" w:sz="4" w:space="0" w:color="auto"/>
              <w:right w:val="single" w:sz="4" w:space="0" w:color="auto"/>
            </w:tcBorders>
            <w:hideMark/>
          </w:tcPr>
          <w:p w:rsidR="004C4FFE" w:rsidRDefault="004C4FFE">
            <w:pPr>
              <w:rPr>
                <w:rFonts w:cs="Times New Roman"/>
                <w:sz w:val="18"/>
                <w:szCs w:val="18"/>
              </w:rPr>
            </w:pPr>
            <w:r>
              <w:rPr>
                <w:rFonts w:cs="Times New Roman"/>
                <w:sz w:val="18"/>
                <w:szCs w:val="18"/>
              </w:rPr>
              <w:t xml:space="preserve"> </w:t>
            </w:r>
          </w:p>
        </w:tc>
      </w:tr>
      <w:tr w:rsidR="004C4FFE" w:rsidTr="004C4FFE">
        <w:trPr>
          <w:cantSplit/>
          <w:trHeight w:val="283"/>
          <w:jc w:val="center"/>
        </w:trPr>
        <w:tc>
          <w:tcPr>
            <w:tcW w:w="14945" w:type="dxa"/>
            <w:gridSpan w:val="12"/>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24"/>
                <w:szCs w:val="24"/>
                <w:lang w:eastAsia="ru-RU"/>
              </w:rPr>
            </w:pPr>
            <w:r>
              <w:rPr>
                <w:rFonts w:eastAsia="Times New Roman" w:cs="Times New Roman"/>
                <w:b/>
                <w:bCs/>
                <w:szCs w:val="24"/>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ЭНЕРГОЭФФЕКТИВНОСТЬ</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289 457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85 603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88 573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115 281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Местный бюджет</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84 494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17 992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21 889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44 613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204 962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67 611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66 683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70 668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370 000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115 000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220 000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35 000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14945" w:type="dxa"/>
            <w:gridSpan w:val="12"/>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СИСТЕМА ОБРАЩЕНИЯ С ТКО</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1 201 177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34 297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100 650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140 150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142 565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130 690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1 200 280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33 400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100 650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140 150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142 565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130 690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Средства предприятия</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897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897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 </w:t>
            </w:r>
          </w:p>
        </w:tc>
      </w:tr>
      <w:tr w:rsidR="004C4FFE" w:rsidTr="004C4FFE">
        <w:trPr>
          <w:cantSplit/>
          <w:trHeight w:val="283"/>
          <w:jc w:val="center"/>
        </w:trPr>
        <w:tc>
          <w:tcPr>
            <w:tcW w:w="14945" w:type="dxa"/>
            <w:gridSpan w:val="12"/>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 </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rPr>
                <w:rFonts w:eastAsia="Times New Roman" w:cs="Times New Roman"/>
                <w:b/>
                <w:bCs/>
                <w:sz w:val="18"/>
                <w:szCs w:val="18"/>
                <w:lang w:eastAsia="ru-RU"/>
              </w:rPr>
            </w:pPr>
            <w:r>
              <w:rPr>
                <w:rFonts w:eastAsia="Times New Roman" w:cs="Times New Roman"/>
                <w:b/>
                <w:bCs/>
                <w:sz w:val="18"/>
                <w:szCs w:val="18"/>
                <w:lang w:eastAsia="ru-RU"/>
              </w:rPr>
              <w:t>ИТОГО:</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67 665 047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7 381 272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 xml:space="preserve">9 167 010 </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11 645 652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7 157 716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11 005 065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5 344 782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7 743 732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3 359 826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2 686 931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2 173 062</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rPr>
                <w:rFonts w:eastAsia="Times New Roman" w:cs="Times New Roman"/>
                <w:sz w:val="18"/>
                <w:szCs w:val="18"/>
                <w:lang w:eastAsia="ru-RU"/>
              </w:rPr>
            </w:pPr>
            <w:r>
              <w:rPr>
                <w:rFonts w:eastAsia="Times New Roman" w:cs="Times New Roman"/>
                <w:sz w:val="18"/>
                <w:szCs w:val="18"/>
                <w:lang w:eastAsia="ru-RU"/>
              </w:rPr>
              <w:t>Федеральный бюджет</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b/>
                <w:bCs/>
                <w:sz w:val="18"/>
                <w:szCs w:val="18"/>
              </w:rPr>
            </w:pPr>
            <w:r>
              <w:rPr>
                <w:rFonts w:cs="Times New Roman"/>
                <w:b/>
                <w:bCs/>
                <w:sz w:val="18"/>
                <w:szCs w:val="18"/>
              </w:rPr>
              <w:t>120 000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60 000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60 000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rPr>
                <w:rFonts w:eastAsia="Times New Roman" w:cs="Times New Roman"/>
                <w:sz w:val="18"/>
                <w:szCs w:val="18"/>
                <w:lang w:eastAsia="ru-RU"/>
              </w:rPr>
            </w:pPr>
            <w:r>
              <w:rPr>
                <w:rFonts w:eastAsia="Times New Roman" w:cs="Times New Roman"/>
                <w:sz w:val="18"/>
                <w:szCs w:val="18"/>
                <w:lang w:eastAsia="ru-RU"/>
              </w:rPr>
              <w:t>Краевой бюджет</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sz w:val="18"/>
                <w:szCs w:val="18"/>
                <w:lang w:eastAsia="ru-RU"/>
              </w:rPr>
            </w:pPr>
            <w:r>
              <w:rPr>
                <w:rFonts w:eastAsia="Times New Roman" w:cs="Times New Roman"/>
                <w:b/>
                <w:sz w:val="18"/>
                <w:szCs w:val="18"/>
                <w:lang w:eastAsia="ru-RU"/>
              </w:rPr>
              <w:t>250 280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50 069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50 066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50 090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50 055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50 000,0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rPr>
                <w:rFonts w:eastAsia="Times New Roman" w:cs="Times New Roman"/>
                <w:sz w:val="18"/>
                <w:szCs w:val="18"/>
                <w:lang w:eastAsia="ru-RU"/>
              </w:rPr>
            </w:pPr>
            <w:r>
              <w:rPr>
                <w:rFonts w:eastAsia="Times New Roman" w:cs="Times New Roman"/>
                <w:sz w:val="18"/>
                <w:szCs w:val="18"/>
                <w:lang w:eastAsia="ru-RU"/>
              </w:rPr>
              <w:t>Местный бюджет</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sz w:val="18"/>
                <w:szCs w:val="18"/>
                <w:lang w:eastAsia="ru-RU"/>
              </w:rPr>
            </w:pPr>
            <w:r>
              <w:rPr>
                <w:rFonts w:eastAsia="Times New Roman" w:cs="Times New Roman"/>
                <w:b/>
                <w:sz w:val="18"/>
                <w:szCs w:val="18"/>
                <w:lang w:eastAsia="ru-RU"/>
              </w:rPr>
              <w:t>1 107 568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18 032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31 933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54 667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355 975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322 300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324 660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0,0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rPr>
                <w:rFonts w:eastAsia="Times New Roman" w:cs="Times New Roman"/>
                <w:sz w:val="18"/>
                <w:szCs w:val="18"/>
                <w:lang w:eastAsia="ru-RU"/>
              </w:rPr>
            </w:pPr>
            <w:r>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sz w:val="18"/>
                <w:szCs w:val="18"/>
                <w:lang w:eastAsia="ru-RU"/>
              </w:rPr>
            </w:pPr>
            <w:r>
              <w:rPr>
                <w:rFonts w:eastAsia="Times New Roman" w:cs="Times New Roman"/>
                <w:b/>
                <w:sz w:val="18"/>
                <w:szCs w:val="18"/>
                <w:lang w:eastAsia="ru-RU"/>
              </w:rPr>
              <w:t>2 420 366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179 811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453 160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496 644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428 392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209 409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130 565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130 690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noWrap/>
            <w:vAlign w:val="center"/>
            <w:hideMark/>
          </w:tcPr>
          <w:p w:rsidR="004C4FFE" w:rsidRDefault="004C4FFE">
            <w:pPr>
              <w:rPr>
                <w:rFonts w:eastAsia="Times New Roman" w:cs="Times New Roman"/>
                <w:sz w:val="18"/>
                <w:szCs w:val="18"/>
                <w:lang w:eastAsia="ru-RU"/>
              </w:rPr>
            </w:pPr>
            <w:r>
              <w:rPr>
                <w:rFonts w:eastAsia="Times New Roman" w:cs="Times New Roman"/>
                <w:sz w:val="18"/>
                <w:szCs w:val="18"/>
                <w:lang w:eastAsia="ru-RU"/>
              </w:rPr>
              <w:t>Средства предприятия</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sz w:val="18"/>
                <w:szCs w:val="18"/>
                <w:lang w:eastAsia="ru-RU"/>
              </w:rPr>
            </w:pPr>
            <w:r>
              <w:rPr>
                <w:rFonts w:eastAsia="Times New Roman" w:cs="Times New Roman"/>
                <w:b/>
                <w:sz w:val="18"/>
                <w:szCs w:val="18"/>
                <w:lang w:eastAsia="ru-RU"/>
              </w:rPr>
              <w:t>9 827 378</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125 337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130 064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97 219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451 025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4 230 602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245 787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4 186 901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205 277</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77 583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77583</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rPr>
                <w:rFonts w:eastAsia="Times New Roman" w:cs="Times New Roman"/>
                <w:sz w:val="18"/>
                <w:szCs w:val="18"/>
                <w:lang w:eastAsia="ru-RU"/>
              </w:rPr>
            </w:pPr>
            <w:r>
              <w:rPr>
                <w:rFonts w:eastAsia="Times New Roman" w:cs="Times New Roman"/>
                <w:sz w:val="18"/>
                <w:szCs w:val="18"/>
                <w:lang w:eastAsia="ru-RU"/>
              </w:rPr>
              <w:t>Плата за присоединение</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b/>
                <w:bCs/>
                <w:sz w:val="18"/>
                <w:szCs w:val="18"/>
              </w:rPr>
            </w:pPr>
            <w:r>
              <w:rPr>
                <w:rFonts w:cs="Times New Roman"/>
                <w:b/>
                <w:bCs/>
                <w:sz w:val="18"/>
                <w:szCs w:val="18"/>
              </w:rPr>
              <w:t>35 251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33 490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1 761</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rPr>
                <w:rFonts w:eastAsia="Times New Roman" w:cs="Times New Roman"/>
                <w:sz w:val="18"/>
                <w:szCs w:val="18"/>
                <w:lang w:eastAsia="ru-RU"/>
              </w:rPr>
            </w:pPr>
            <w:r>
              <w:rPr>
                <w:rFonts w:eastAsia="Times New Roman" w:cs="Times New Roman"/>
                <w:sz w:val="18"/>
                <w:szCs w:val="18"/>
                <w:lang w:eastAsia="ru-RU"/>
              </w:rPr>
              <w:t>Индивидуальный тариф</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b/>
                <w:bCs/>
                <w:sz w:val="18"/>
                <w:szCs w:val="18"/>
              </w:rPr>
            </w:pPr>
            <w:r>
              <w:rPr>
                <w:rFonts w:cs="Times New Roman"/>
                <w:b/>
                <w:bCs/>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r>
      <w:tr w:rsidR="004C4FFE" w:rsidTr="004C4FFE">
        <w:trPr>
          <w:cantSplit/>
          <w:trHeight w:val="283"/>
          <w:jc w:val="center"/>
        </w:trPr>
        <w:tc>
          <w:tcPr>
            <w:tcW w:w="4379" w:type="dxa"/>
            <w:tcBorders>
              <w:top w:val="nil"/>
              <w:left w:val="single" w:sz="4" w:space="0" w:color="auto"/>
              <w:bottom w:val="single" w:sz="4" w:space="0" w:color="auto"/>
              <w:right w:val="single" w:sz="4" w:space="0" w:color="auto"/>
            </w:tcBorders>
            <w:vAlign w:val="center"/>
            <w:hideMark/>
          </w:tcPr>
          <w:p w:rsidR="004C4FFE" w:rsidRDefault="004C4FFE">
            <w:pPr>
              <w:rPr>
                <w:rFonts w:eastAsia="Times New Roman" w:cs="Times New Roman"/>
                <w:sz w:val="18"/>
                <w:szCs w:val="18"/>
                <w:lang w:eastAsia="ru-RU"/>
              </w:rPr>
            </w:pPr>
            <w:r>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sz w:val="18"/>
                <w:szCs w:val="18"/>
                <w:lang w:eastAsia="ru-RU"/>
              </w:rPr>
            </w:pPr>
            <w:r>
              <w:rPr>
                <w:rFonts w:eastAsia="Times New Roman" w:cs="Times New Roman"/>
                <w:b/>
                <w:sz w:val="18"/>
                <w:szCs w:val="18"/>
                <w:lang w:eastAsia="ru-RU"/>
              </w:rPr>
              <w:t>53 904 205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6 974 532</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8 500 025</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10 947 033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5 812 269</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6 132 754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4 643 770</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3 426 266</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3 023 984</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2 478 783</w:t>
            </w:r>
          </w:p>
        </w:tc>
        <w:tc>
          <w:tcPr>
            <w:tcW w:w="0" w:type="auto"/>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Cs/>
                <w:sz w:val="18"/>
                <w:szCs w:val="18"/>
                <w:lang w:eastAsia="ru-RU"/>
              </w:rPr>
            </w:pPr>
            <w:r>
              <w:rPr>
                <w:rFonts w:eastAsia="Times New Roman" w:cs="Times New Roman"/>
                <w:bCs/>
                <w:sz w:val="18"/>
                <w:szCs w:val="18"/>
                <w:lang w:eastAsia="ru-RU"/>
              </w:rPr>
              <w:t>1 964 789</w:t>
            </w:r>
          </w:p>
        </w:tc>
      </w:tr>
    </w:tbl>
    <w:p w:rsidR="004C4FFE" w:rsidRDefault="004C4FFE" w:rsidP="004C4FFE">
      <w:pPr>
        <w:tabs>
          <w:tab w:val="left" w:pos="720"/>
        </w:tabs>
        <w:jc w:val="right"/>
        <w:rPr>
          <w:rFonts w:eastAsia="Times New Roman" w:cs="Times New Roman"/>
          <w:sz w:val="24"/>
          <w:szCs w:val="24"/>
          <w:lang w:eastAsia="ru-RU"/>
        </w:rPr>
      </w:pPr>
    </w:p>
    <w:p w:rsidR="004C4FFE" w:rsidRDefault="004C4FFE" w:rsidP="004C4FFE">
      <w:pPr>
        <w:jc w:val="left"/>
        <w:rPr>
          <w:rFonts w:eastAsiaTheme="minorEastAsia" w:cs="Times New Roman"/>
          <w:szCs w:val="24"/>
          <w:lang w:eastAsia="ru-RU"/>
        </w:rPr>
        <w:sectPr w:rsidR="004C4FFE">
          <w:footerReference w:type="default" r:id="rId6"/>
          <w:pgSz w:w="16838" w:h="11906" w:orient="landscape"/>
          <w:pgMar w:top="1134" w:right="1134" w:bottom="851" w:left="1134" w:header="709" w:footer="567" w:gutter="0"/>
          <w:cols w:space="720"/>
        </w:sectPr>
      </w:pPr>
    </w:p>
    <w:p w:rsidR="004C4FFE" w:rsidRDefault="004C4FFE" w:rsidP="002A5A4E">
      <w:pPr>
        <w:autoSpaceDE w:val="0"/>
        <w:autoSpaceDN w:val="0"/>
        <w:adjustRightInd w:val="0"/>
        <w:ind w:firstLine="709"/>
        <w:rPr>
          <w:rFonts w:eastAsiaTheme="minorEastAsia" w:cs="Times New Roman"/>
          <w:szCs w:val="26"/>
          <w:lang w:eastAsia="ru-RU"/>
        </w:rPr>
      </w:pPr>
      <w:r>
        <w:rPr>
          <w:rFonts w:eastAsiaTheme="minorEastAsia" w:cs="Times New Roman"/>
          <w:szCs w:val="26"/>
          <w:lang w:eastAsia="ru-RU"/>
        </w:rPr>
        <w:lastRenderedPageBreak/>
        <w:t xml:space="preserve">Как видно из таблицы, источниками инвестиций являются собственные средства предприятий (прибыль, амортизационные отчисления, снижение затрат за счет реализации проектов), плата за подключение (присоединение), бюджетные средства (местного, краевого, федерального бюджетов), а </w:t>
      </w:r>
      <w:proofErr w:type="gramStart"/>
      <w:r>
        <w:rPr>
          <w:rFonts w:eastAsiaTheme="minorEastAsia" w:cs="Times New Roman"/>
          <w:szCs w:val="26"/>
          <w:lang w:eastAsia="ru-RU"/>
        </w:rPr>
        <w:t>так же</w:t>
      </w:r>
      <w:proofErr w:type="gramEnd"/>
      <w:r>
        <w:rPr>
          <w:rFonts w:eastAsiaTheme="minorEastAsia" w:cs="Times New Roman"/>
          <w:szCs w:val="26"/>
          <w:lang w:eastAsia="ru-RU"/>
        </w:rPr>
        <w:t xml:space="preserve"> внебюджетные средства. Важно отметить, что для около 46 % планируемых средств источник финансирования на момент разработки Программы не определён. Однозначно можно ответить, что это не могут быть заёмные средства, так как эффективность отдельных проектов не определяется экономическими категориями (например, экологический эффект, увеличение качества снабжения ресурсом потребителя и т.п.). </w:t>
      </w:r>
    </w:p>
    <w:p w:rsidR="004C4FFE" w:rsidRDefault="004C4FFE" w:rsidP="002A5A4E">
      <w:pPr>
        <w:tabs>
          <w:tab w:val="left" w:pos="720"/>
        </w:tabs>
        <w:ind w:firstLine="709"/>
        <w:rPr>
          <w:rFonts w:eastAsia="Times New Roman" w:cs="Times New Roman"/>
          <w:szCs w:val="26"/>
          <w:lang w:eastAsia="ru-RU"/>
        </w:rPr>
      </w:pPr>
      <w:r>
        <w:rPr>
          <w:rFonts w:eastAsia="Times New Roman" w:cs="Times New Roman"/>
          <w:szCs w:val="26"/>
          <w:lang w:eastAsia="ru-RU"/>
        </w:rPr>
        <w:t>Более подробный анализ представлен в разделе 12 «</w:t>
      </w:r>
      <w:r>
        <w:rPr>
          <w:rFonts w:eastAsiaTheme="minorEastAsia" w:cs="Times New Roman"/>
          <w:szCs w:val="26"/>
          <w:lang w:eastAsia="ru-RU"/>
        </w:rPr>
        <w:t>Финансовые потребности для реализации программы» Обосновывающих материалов к данному программному документу.</w:t>
      </w:r>
    </w:p>
    <w:p w:rsidR="004C4FFE" w:rsidRDefault="004C4FFE" w:rsidP="002A5A4E">
      <w:pPr>
        <w:autoSpaceDE w:val="0"/>
        <w:autoSpaceDN w:val="0"/>
        <w:adjustRightInd w:val="0"/>
        <w:ind w:firstLine="709"/>
        <w:rPr>
          <w:rFonts w:eastAsiaTheme="minorEastAsia" w:cs="Times New Roman"/>
          <w:sz w:val="24"/>
          <w:szCs w:val="24"/>
          <w:lang w:eastAsia="ru-RU"/>
        </w:rPr>
      </w:pPr>
      <w:r>
        <w:rPr>
          <w:rFonts w:eastAsiaTheme="minorEastAsia" w:cs="Times New Roman"/>
          <w:szCs w:val="26"/>
          <w:lang w:eastAsia="ru-RU"/>
        </w:rPr>
        <w:t>Динамика изменения уровня тарифов на коммунальные услуги на период до 2025 г. представлена в таблице.</w:t>
      </w:r>
    </w:p>
    <w:p w:rsidR="004C4FFE" w:rsidRDefault="004C4FFE" w:rsidP="004C4FFE">
      <w:pPr>
        <w:jc w:val="left"/>
        <w:rPr>
          <w:rFonts w:eastAsia="Calibri" w:cs="Times New Roman"/>
        </w:rPr>
        <w:sectPr w:rsidR="004C4FFE" w:rsidSect="002A5A4E">
          <w:pgSz w:w="16838" w:h="11906" w:orient="landscape"/>
          <w:pgMar w:top="1701" w:right="1134" w:bottom="851" w:left="1134" w:header="709" w:footer="709" w:gutter="0"/>
          <w:cols w:space="720"/>
        </w:sectPr>
      </w:pPr>
    </w:p>
    <w:p w:rsidR="004C4FFE" w:rsidRDefault="004C4FFE" w:rsidP="004C4FFE">
      <w:pPr>
        <w:ind w:left="7655"/>
        <w:contextualSpacing/>
        <w:jc w:val="right"/>
        <w:rPr>
          <w:rFonts w:eastAsia="Calibri" w:cs="Times New Roman"/>
          <w:szCs w:val="26"/>
        </w:rPr>
      </w:pPr>
      <w:r>
        <w:rPr>
          <w:rFonts w:eastAsia="Calibri" w:cs="Times New Roman"/>
          <w:szCs w:val="26"/>
        </w:rPr>
        <w:lastRenderedPageBreak/>
        <w:t>Таблица 6.2</w:t>
      </w:r>
    </w:p>
    <w:p w:rsidR="004C4FFE" w:rsidRDefault="004C4FFE" w:rsidP="004C4FFE">
      <w:pPr>
        <w:autoSpaceDE w:val="0"/>
        <w:autoSpaceDN w:val="0"/>
        <w:adjustRightInd w:val="0"/>
        <w:jc w:val="center"/>
        <w:rPr>
          <w:rFonts w:eastAsia="Times New Roman" w:cs="Times New Roman"/>
          <w:szCs w:val="26"/>
          <w:lang w:eastAsia="ru-RU"/>
        </w:rPr>
      </w:pPr>
      <w:r>
        <w:rPr>
          <w:rFonts w:eastAsia="Times New Roman" w:cs="Times New Roman"/>
          <w:szCs w:val="26"/>
          <w:lang w:eastAsia="ru-RU"/>
        </w:rPr>
        <w:t>Динамика изменения тарифов (при тарифах, включающих в себя источники финансирования Программы комплексного развития коммунальной инфраструктуры)</w:t>
      </w:r>
    </w:p>
    <w:tbl>
      <w:tblPr>
        <w:tblW w:w="15654" w:type="dxa"/>
        <w:jc w:val="center"/>
        <w:tblLook w:val="04A0" w:firstRow="1" w:lastRow="0" w:firstColumn="1" w:lastColumn="0" w:noHBand="0" w:noVBand="1"/>
      </w:tblPr>
      <w:tblGrid>
        <w:gridCol w:w="2811"/>
        <w:gridCol w:w="1423"/>
        <w:gridCol w:w="1134"/>
        <w:gridCol w:w="1179"/>
        <w:gridCol w:w="1124"/>
        <w:gridCol w:w="1134"/>
        <w:gridCol w:w="1116"/>
        <w:gridCol w:w="1117"/>
        <w:gridCol w:w="1117"/>
        <w:gridCol w:w="1174"/>
        <w:gridCol w:w="1132"/>
        <w:gridCol w:w="1193"/>
      </w:tblGrid>
      <w:tr w:rsidR="004C4FFE" w:rsidTr="004C4FFE">
        <w:trPr>
          <w:cantSplit/>
          <w:trHeight w:val="283"/>
          <w:tblHeader/>
          <w:jc w:val="center"/>
        </w:trPr>
        <w:tc>
          <w:tcPr>
            <w:tcW w:w="2811" w:type="dxa"/>
            <w:vMerge w:val="restart"/>
            <w:tcBorders>
              <w:top w:val="single" w:sz="4" w:space="0" w:color="auto"/>
              <w:left w:val="single" w:sz="4" w:space="0" w:color="auto"/>
              <w:bottom w:val="single" w:sz="4" w:space="0" w:color="auto"/>
              <w:right w:val="single" w:sz="4" w:space="0" w:color="auto"/>
            </w:tcBorders>
            <w:noWrap/>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Коммунальные услуги</w:t>
            </w:r>
          </w:p>
        </w:tc>
        <w:tc>
          <w:tcPr>
            <w:tcW w:w="1423" w:type="dxa"/>
            <w:tcBorders>
              <w:top w:val="single" w:sz="4" w:space="0" w:color="auto"/>
              <w:left w:val="nil"/>
              <w:bottom w:val="single" w:sz="4" w:space="0" w:color="auto"/>
              <w:right w:val="single" w:sz="4" w:space="0" w:color="auto"/>
            </w:tcBorders>
            <w:noWrap/>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объем</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2016</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2017</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2018</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2019</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2020</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2021</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2022</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2023</w:t>
            </w:r>
          </w:p>
        </w:tc>
        <w:tc>
          <w:tcPr>
            <w:tcW w:w="1132"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2024</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2025</w:t>
            </w:r>
          </w:p>
        </w:tc>
      </w:tr>
      <w:tr w:rsidR="004C4FFE" w:rsidTr="004C4FFE">
        <w:trPr>
          <w:cantSplit/>
          <w:trHeight w:val="283"/>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1423" w:type="dxa"/>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стоимость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p>
        </w:tc>
      </w:tr>
      <w:tr w:rsidR="004C4FFE" w:rsidTr="004C4FFE">
        <w:trPr>
          <w:cantSplit/>
          <w:trHeight w:val="283"/>
          <w:jc w:val="center"/>
        </w:trPr>
        <w:tc>
          <w:tcPr>
            <w:tcW w:w="2811" w:type="dxa"/>
            <w:vMerge w:val="restart"/>
            <w:tcBorders>
              <w:top w:val="nil"/>
              <w:left w:val="single" w:sz="4" w:space="0" w:color="auto"/>
              <w:bottom w:val="single" w:sz="4" w:space="0" w:color="000000"/>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Электроснабжение</w:t>
            </w: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1,65</w:t>
            </w:r>
          </w:p>
        </w:tc>
        <w:tc>
          <w:tcPr>
            <w:tcW w:w="1179"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1,92</w:t>
            </w:r>
          </w:p>
        </w:tc>
        <w:tc>
          <w:tcPr>
            <w:tcW w:w="112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2,24</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2,51</w:t>
            </w:r>
          </w:p>
        </w:tc>
        <w:tc>
          <w:tcPr>
            <w:tcW w:w="1116"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2,82</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3,16</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3,54</w:t>
            </w:r>
          </w:p>
        </w:tc>
        <w:tc>
          <w:tcPr>
            <w:tcW w:w="117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3,93</w:t>
            </w:r>
          </w:p>
        </w:tc>
        <w:tc>
          <w:tcPr>
            <w:tcW w:w="1132"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4,28</w:t>
            </w:r>
          </w:p>
        </w:tc>
        <w:tc>
          <w:tcPr>
            <w:tcW w:w="1193"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4,67</w:t>
            </w:r>
          </w:p>
        </w:tc>
      </w:tr>
      <w:tr w:rsidR="004C4FFE" w:rsidTr="004C4FFE">
        <w:trPr>
          <w:cantSplit/>
          <w:trHeight w:val="283"/>
          <w:jc w:val="center"/>
        </w:trPr>
        <w:tc>
          <w:tcPr>
            <w:tcW w:w="0" w:type="auto"/>
            <w:vMerge/>
            <w:tcBorders>
              <w:top w:val="nil"/>
              <w:left w:val="single" w:sz="4" w:space="0" w:color="auto"/>
              <w:bottom w:val="single" w:sz="4" w:space="0" w:color="000000"/>
              <w:right w:val="single" w:sz="4" w:space="0" w:color="auto"/>
            </w:tcBorders>
            <w:vAlign w:val="center"/>
            <w:hideMark/>
          </w:tcPr>
          <w:p w:rsidR="004C4FFE" w:rsidRDefault="004C4FFE">
            <w:pPr>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noWrap/>
            <w:vAlign w:val="center"/>
            <w:hideMark/>
          </w:tcPr>
          <w:p w:rsidR="004C4FFE" w:rsidRDefault="004C4FFE">
            <w:pPr>
              <w:rPr>
                <w:rFonts w:eastAsia="Times New Roman" w:cs="Times New Roman"/>
                <w:sz w:val="18"/>
                <w:szCs w:val="18"/>
                <w:lang w:eastAsia="ru-RU"/>
              </w:rPr>
            </w:pP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116,6%</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116,5%</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112,1%</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112,1%</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112,1%</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112,1%</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111,1%</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109,1%</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109,1%</w:t>
            </w:r>
          </w:p>
        </w:tc>
      </w:tr>
      <w:tr w:rsidR="004C4FFE" w:rsidTr="004C4FFE">
        <w:trPr>
          <w:cantSplit/>
          <w:trHeight w:val="283"/>
          <w:jc w:val="center"/>
        </w:trPr>
        <w:tc>
          <w:tcPr>
            <w:tcW w:w="2811" w:type="dxa"/>
            <w:vMerge w:val="restart"/>
            <w:tcBorders>
              <w:top w:val="nil"/>
              <w:left w:val="single" w:sz="4" w:space="0" w:color="auto"/>
              <w:bottom w:val="single" w:sz="4" w:space="0" w:color="000000"/>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Централизованное отопление</w:t>
            </w: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1 222,28</w:t>
            </w:r>
          </w:p>
        </w:tc>
        <w:tc>
          <w:tcPr>
            <w:tcW w:w="1179"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1 357,09</w:t>
            </w:r>
          </w:p>
        </w:tc>
        <w:tc>
          <w:tcPr>
            <w:tcW w:w="112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1 471,96</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1 529,08</w:t>
            </w:r>
          </w:p>
        </w:tc>
        <w:tc>
          <w:tcPr>
            <w:tcW w:w="1116"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1 591,43</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1 653,10</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1 713,57</w:t>
            </w:r>
          </w:p>
        </w:tc>
        <w:tc>
          <w:tcPr>
            <w:tcW w:w="117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1 777,91</w:t>
            </w:r>
          </w:p>
        </w:tc>
        <w:tc>
          <w:tcPr>
            <w:tcW w:w="1132"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1 844,67</w:t>
            </w:r>
          </w:p>
        </w:tc>
        <w:tc>
          <w:tcPr>
            <w:tcW w:w="1193"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1 912,07</w:t>
            </w:r>
          </w:p>
        </w:tc>
      </w:tr>
      <w:tr w:rsidR="004C4FFE" w:rsidTr="004C4FFE">
        <w:trPr>
          <w:cantSplit/>
          <w:trHeight w:val="283"/>
          <w:jc w:val="center"/>
        </w:trPr>
        <w:tc>
          <w:tcPr>
            <w:tcW w:w="0" w:type="auto"/>
            <w:vMerge/>
            <w:tcBorders>
              <w:top w:val="nil"/>
              <w:left w:val="single" w:sz="4" w:space="0" w:color="auto"/>
              <w:bottom w:val="single" w:sz="4" w:space="0" w:color="000000"/>
              <w:right w:val="single" w:sz="4" w:space="0" w:color="auto"/>
            </w:tcBorders>
            <w:vAlign w:val="center"/>
            <w:hideMark/>
          </w:tcPr>
          <w:p w:rsidR="004C4FFE" w:rsidRDefault="004C4FFE">
            <w:pPr>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noWrap/>
            <w:vAlign w:val="center"/>
            <w:hideMark/>
          </w:tcPr>
          <w:p w:rsidR="004C4FFE" w:rsidRDefault="004C4FFE">
            <w:pPr>
              <w:rPr>
                <w:rFonts w:eastAsia="Times New Roman" w:cs="Times New Roman"/>
                <w:sz w:val="18"/>
                <w:szCs w:val="18"/>
                <w:lang w:eastAsia="ru-RU"/>
              </w:rPr>
            </w:pP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111,0%</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108,5%</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103,9%</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104,1%</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103,9%</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103,7%</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103,8%</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103,8%</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103,7%</w:t>
            </w:r>
          </w:p>
        </w:tc>
      </w:tr>
      <w:tr w:rsidR="004C4FFE" w:rsidTr="004C4FFE">
        <w:trPr>
          <w:cantSplit/>
          <w:trHeight w:val="283"/>
          <w:jc w:val="center"/>
        </w:trPr>
        <w:tc>
          <w:tcPr>
            <w:tcW w:w="2811" w:type="dxa"/>
            <w:vMerge w:val="restart"/>
            <w:tcBorders>
              <w:top w:val="nil"/>
              <w:left w:val="single" w:sz="4" w:space="0" w:color="auto"/>
              <w:bottom w:val="single" w:sz="4" w:space="0" w:color="000000"/>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Горячее водоснабжение</w:t>
            </w: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83,31</w:t>
            </w:r>
          </w:p>
        </w:tc>
        <w:tc>
          <w:tcPr>
            <w:tcW w:w="1179"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94,03</w:t>
            </w:r>
          </w:p>
        </w:tc>
        <w:tc>
          <w:tcPr>
            <w:tcW w:w="112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101,88</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105,84</w:t>
            </w:r>
          </w:p>
        </w:tc>
        <w:tc>
          <w:tcPr>
            <w:tcW w:w="1116"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110,15</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114,42</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118,61</w:t>
            </w:r>
          </w:p>
        </w:tc>
        <w:tc>
          <w:tcPr>
            <w:tcW w:w="117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123,06</w:t>
            </w:r>
          </w:p>
        </w:tc>
        <w:tc>
          <w:tcPr>
            <w:tcW w:w="1132"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127,68</w:t>
            </w:r>
          </w:p>
        </w:tc>
        <w:tc>
          <w:tcPr>
            <w:tcW w:w="1193"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132,35</w:t>
            </w:r>
          </w:p>
        </w:tc>
      </w:tr>
      <w:tr w:rsidR="004C4FFE" w:rsidTr="004C4FFE">
        <w:trPr>
          <w:cantSplit/>
          <w:trHeight w:val="283"/>
          <w:jc w:val="center"/>
        </w:trPr>
        <w:tc>
          <w:tcPr>
            <w:tcW w:w="0" w:type="auto"/>
            <w:vMerge/>
            <w:tcBorders>
              <w:top w:val="nil"/>
              <w:left w:val="single" w:sz="4" w:space="0" w:color="auto"/>
              <w:bottom w:val="single" w:sz="4" w:space="0" w:color="000000"/>
              <w:right w:val="single" w:sz="4" w:space="0" w:color="auto"/>
            </w:tcBorders>
            <w:vAlign w:val="center"/>
            <w:hideMark/>
          </w:tcPr>
          <w:p w:rsidR="004C4FFE" w:rsidRDefault="004C4FFE">
            <w:pPr>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noWrap/>
            <w:vAlign w:val="center"/>
            <w:hideMark/>
          </w:tcPr>
          <w:p w:rsidR="004C4FFE" w:rsidRDefault="004C4FFE">
            <w:pPr>
              <w:rPr>
                <w:rFonts w:eastAsia="Times New Roman" w:cs="Times New Roman"/>
                <w:sz w:val="18"/>
                <w:szCs w:val="18"/>
                <w:lang w:eastAsia="ru-RU"/>
              </w:rPr>
            </w:pP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112,9%</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108,4%</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103,9%</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104,1%</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103,9%</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103,7%</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103,8%</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103,8%</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103,7%</w:t>
            </w:r>
          </w:p>
        </w:tc>
      </w:tr>
      <w:tr w:rsidR="004C4FFE" w:rsidTr="004C4FFE">
        <w:trPr>
          <w:cantSplit/>
          <w:trHeight w:val="283"/>
          <w:jc w:val="center"/>
        </w:trPr>
        <w:tc>
          <w:tcPr>
            <w:tcW w:w="2811" w:type="dxa"/>
            <w:vMerge w:val="restart"/>
            <w:tcBorders>
              <w:top w:val="nil"/>
              <w:left w:val="single" w:sz="4" w:space="0" w:color="auto"/>
              <w:bottom w:val="single" w:sz="4" w:space="0" w:color="000000"/>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Холодное водоснабжение</w:t>
            </w: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37,51</w:t>
            </w:r>
          </w:p>
        </w:tc>
        <w:tc>
          <w:tcPr>
            <w:tcW w:w="1179"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41,46</w:t>
            </w:r>
          </w:p>
        </w:tc>
        <w:tc>
          <w:tcPr>
            <w:tcW w:w="112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46,23</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48,81</w:t>
            </w:r>
          </w:p>
        </w:tc>
        <w:tc>
          <w:tcPr>
            <w:tcW w:w="1116"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51,54</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54,41</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57,44</w:t>
            </w:r>
          </w:p>
        </w:tc>
        <w:tc>
          <w:tcPr>
            <w:tcW w:w="117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60,63</w:t>
            </w:r>
          </w:p>
        </w:tc>
        <w:tc>
          <w:tcPr>
            <w:tcW w:w="1132"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64,00</w:t>
            </w:r>
          </w:p>
        </w:tc>
        <w:tc>
          <w:tcPr>
            <w:tcW w:w="1193"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67,55</w:t>
            </w:r>
          </w:p>
        </w:tc>
      </w:tr>
      <w:tr w:rsidR="004C4FFE" w:rsidTr="004C4FFE">
        <w:trPr>
          <w:cantSplit/>
          <w:trHeight w:val="283"/>
          <w:jc w:val="center"/>
        </w:trPr>
        <w:tc>
          <w:tcPr>
            <w:tcW w:w="0" w:type="auto"/>
            <w:vMerge/>
            <w:tcBorders>
              <w:top w:val="nil"/>
              <w:left w:val="single" w:sz="4" w:space="0" w:color="auto"/>
              <w:bottom w:val="single" w:sz="4" w:space="0" w:color="000000"/>
              <w:right w:val="single" w:sz="4" w:space="0" w:color="auto"/>
            </w:tcBorders>
            <w:vAlign w:val="center"/>
            <w:hideMark/>
          </w:tcPr>
          <w:p w:rsidR="004C4FFE" w:rsidRDefault="004C4FFE">
            <w:pPr>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noWrap/>
            <w:vAlign w:val="center"/>
            <w:hideMark/>
          </w:tcPr>
          <w:p w:rsidR="004C4FFE" w:rsidRDefault="004C4FFE">
            <w:pPr>
              <w:rPr>
                <w:rFonts w:eastAsia="Times New Roman" w:cs="Times New Roman"/>
                <w:sz w:val="18"/>
                <w:szCs w:val="18"/>
                <w:lang w:eastAsia="ru-RU"/>
              </w:rPr>
            </w:pP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110,5%</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111,5%</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r>
      <w:tr w:rsidR="004C4FFE" w:rsidTr="004C4FFE">
        <w:trPr>
          <w:cantSplit/>
          <w:trHeight w:val="283"/>
          <w:jc w:val="center"/>
        </w:trPr>
        <w:tc>
          <w:tcPr>
            <w:tcW w:w="2811" w:type="dxa"/>
            <w:vMerge w:val="restart"/>
            <w:tcBorders>
              <w:top w:val="nil"/>
              <w:left w:val="single" w:sz="4" w:space="0" w:color="auto"/>
              <w:bottom w:val="single" w:sz="4" w:space="0" w:color="000000"/>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Водоотведение</w:t>
            </w: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28,60</w:t>
            </w:r>
          </w:p>
        </w:tc>
        <w:tc>
          <w:tcPr>
            <w:tcW w:w="1179"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31,60</w:t>
            </w:r>
          </w:p>
        </w:tc>
        <w:tc>
          <w:tcPr>
            <w:tcW w:w="112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34,41</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36,33</w:t>
            </w:r>
          </w:p>
        </w:tc>
        <w:tc>
          <w:tcPr>
            <w:tcW w:w="1116"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38,36</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40,50</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42,75</w:t>
            </w:r>
          </w:p>
        </w:tc>
        <w:tc>
          <w:tcPr>
            <w:tcW w:w="117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45,13</w:t>
            </w:r>
          </w:p>
        </w:tc>
        <w:tc>
          <w:tcPr>
            <w:tcW w:w="1132"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47,63</w:t>
            </w:r>
          </w:p>
        </w:tc>
        <w:tc>
          <w:tcPr>
            <w:tcW w:w="1193"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50,28</w:t>
            </w:r>
          </w:p>
        </w:tc>
      </w:tr>
      <w:tr w:rsidR="004C4FFE" w:rsidTr="004C4FFE">
        <w:trPr>
          <w:cantSplit/>
          <w:trHeight w:val="283"/>
          <w:jc w:val="center"/>
        </w:trPr>
        <w:tc>
          <w:tcPr>
            <w:tcW w:w="0" w:type="auto"/>
            <w:vMerge/>
            <w:tcBorders>
              <w:top w:val="nil"/>
              <w:left w:val="single" w:sz="4" w:space="0" w:color="auto"/>
              <w:bottom w:val="single" w:sz="4" w:space="0" w:color="000000"/>
              <w:right w:val="single" w:sz="4" w:space="0" w:color="auto"/>
            </w:tcBorders>
            <w:vAlign w:val="center"/>
            <w:hideMark/>
          </w:tcPr>
          <w:p w:rsidR="004C4FFE" w:rsidRDefault="004C4FFE">
            <w:pPr>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noWrap/>
            <w:vAlign w:val="center"/>
            <w:hideMark/>
          </w:tcPr>
          <w:p w:rsidR="004C4FFE" w:rsidRDefault="004C4FFE">
            <w:pPr>
              <w:rPr>
                <w:rFonts w:eastAsia="Times New Roman" w:cs="Times New Roman"/>
                <w:sz w:val="18"/>
                <w:szCs w:val="18"/>
                <w:lang w:eastAsia="ru-RU"/>
              </w:rPr>
            </w:pP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110,5%</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108,9%</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105,6%</w:t>
            </w:r>
          </w:p>
        </w:tc>
      </w:tr>
      <w:tr w:rsidR="004C4FFE" w:rsidTr="004C4FFE">
        <w:trPr>
          <w:cantSplit/>
          <w:trHeight w:val="283"/>
          <w:jc w:val="center"/>
        </w:trPr>
        <w:tc>
          <w:tcPr>
            <w:tcW w:w="2811" w:type="dxa"/>
            <w:vMerge w:val="restart"/>
            <w:tcBorders>
              <w:top w:val="nil"/>
              <w:left w:val="single" w:sz="4" w:space="0" w:color="auto"/>
              <w:bottom w:val="single" w:sz="4" w:space="0" w:color="000000"/>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Захоронение ТКО</w:t>
            </w: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173,20</w:t>
            </w:r>
          </w:p>
        </w:tc>
        <w:tc>
          <w:tcPr>
            <w:tcW w:w="1179"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189,27</w:t>
            </w:r>
          </w:p>
        </w:tc>
        <w:tc>
          <w:tcPr>
            <w:tcW w:w="112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206,70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215,75</w:t>
            </w:r>
          </w:p>
        </w:tc>
        <w:tc>
          <w:tcPr>
            <w:tcW w:w="1116"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224,98</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234,15</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243,65</w:t>
            </w:r>
          </w:p>
        </w:tc>
        <w:tc>
          <w:tcPr>
            <w:tcW w:w="117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253,29</w:t>
            </w:r>
          </w:p>
        </w:tc>
        <w:tc>
          <w:tcPr>
            <w:tcW w:w="1132"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263,05</w:t>
            </w:r>
          </w:p>
        </w:tc>
        <w:tc>
          <w:tcPr>
            <w:tcW w:w="1193"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272,93</w:t>
            </w:r>
          </w:p>
        </w:tc>
      </w:tr>
      <w:tr w:rsidR="004C4FFE" w:rsidTr="004C4FFE">
        <w:trPr>
          <w:cantSplit/>
          <w:trHeight w:val="283"/>
          <w:jc w:val="center"/>
        </w:trPr>
        <w:tc>
          <w:tcPr>
            <w:tcW w:w="0" w:type="auto"/>
            <w:vMerge/>
            <w:tcBorders>
              <w:top w:val="nil"/>
              <w:left w:val="single" w:sz="4" w:space="0" w:color="auto"/>
              <w:bottom w:val="single" w:sz="4" w:space="0" w:color="000000"/>
              <w:right w:val="single" w:sz="4" w:space="0" w:color="auto"/>
            </w:tcBorders>
            <w:vAlign w:val="center"/>
            <w:hideMark/>
          </w:tcPr>
          <w:p w:rsidR="004C4FFE" w:rsidRDefault="004C4FFE">
            <w:pPr>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noWrap/>
            <w:vAlign w:val="center"/>
            <w:hideMark/>
          </w:tcPr>
          <w:p w:rsidR="004C4FFE" w:rsidRDefault="004C4FFE">
            <w:pPr>
              <w:rPr>
                <w:rFonts w:eastAsia="Times New Roman" w:cs="Times New Roman"/>
                <w:sz w:val="18"/>
                <w:szCs w:val="18"/>
                <w:lang w:eastAsia="ru-RU"/>
              </w:rPr>
            </w:pP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109,3%</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109,2%</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104,4%</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104,3%</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104,1%</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104,1%</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104,0%</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103,9%</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103,8%</w:t>
            </w:r>
          </w:p>
        </w:tc>
      </w:tr>
      <w:tr w:rsidR="004C4FFE" w:rsidTr="004C4FFE">
        <w:trPr>
          <w:cantSplit/>
          <w:trHeight w:val="283"/>
          <w:jc w:val="center"/>
        </w:trPr>
        <w:tc>
          <w:tcPr>
            <w:tcW w:w="2811"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Общий доход населения (без льгот и субсидий)</w:t>
            </w: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тыс. руб.</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95 922 542</w:t>
            </w:r>
          </w:p>
        </w:tc>
        <w:tc>
          <w:tcPr>
            <w:tcW w:w="1179"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100 622 746</w:t>
            </w:r>
          </w:p>
        </w:tc>
        <w:tc>
          <w:tcPr>
            <w:tcW w:w="112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105 050 147</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109 777 404</w:t>
            </w:r>
          </w:p>
        </w:tc>
        <w:tc>
          <w:tcPr>
            <w:tcW w:w="1116"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113 619 613</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117 255 440</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121 007 615</w:t>
            </w:r>
          </w:p>
        </w:tc>
        <w:tc>
          <w:tcPr>
            <w:tcW w:w="117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124 879 858</w:t>
            </w:r>
          </w:p>
        </w:tc>
        <w:tc>
          <w:tcPr>
            <w:tcW w:w="1132"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128 876 014</w:t>
            </w:r>
          </w:p>
        </w:tc>
        <w:tc>
          <w:tcPr>
            <w:tcW w:w="1193"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133 000 046</w:t>
            </w:r>
          </w:p>
        </w:tc>
      </w:tr>
      <w:tr w:rsidR="004C4FFE" w:rsidTr="004C4FFE">
        <w:trPr>
          <w:cantSplit/>
          <w:trHeight w:val="283"/>
          <w:jc w:val="center"/>
        </w:trPr>
        <w:tc>
          <w:tcPr>
            <w:tcW w:w="2811"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lastRenderedPageBreak/>
              <w:t>Расчетная доля расходов на ЖКУ в совокупном доходе семьи</w:t>
            </w:r>
          </w:p>
        </w:tc>
        <w:tc>
          <w:tcPr>
            <w:tcW w:w="1423" w:type="dxa"/>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5,79%</w:t>
            </w: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6,11%</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6,46%</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6,58%</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6,78%</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6,99%</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7,14%</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7,29%</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7,46%</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7,62%</w:t>
            </w:r>
          </w:p>
        </w:tc>
      </w:tr>
      <w:tr w:rsidR="004C4FFE" w:rsidTr="004C4FFE">
        <w:trPr>
          <w:cantSplit/>
          <w:trHeight w:val="283"/>
          <w:jc w:val="center"/>
        </w:trPr>
        <w:tc>
          <w:tcPr>
            <w:tcW w:w="2811"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Льготы и субсидии</w:t>
            </w:r>
          </w:p>
        </w:tc>
        <w:tc>
          <w:tcPr>
            <w:tcW w:w="1423"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тыс. руб.</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15 000</w:t>
            </w:r>
          </w:p>
        </w:tc>
        <w:tc>
          <w:tcPr>
            <w:tcW w:w="1179"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16 100</w:t>
            </w:r>
          </w:p>
        </w:tc>
        <w:tc>
          <w:tcPr>
            <w:tcW w:w="112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18 909</w:t>
            </w:r>
          </w:p>
        </w:tc>
        <w:tc>
          <w:tcPr>
            <w:tcW w:w="113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21 955</w:t>
            </w:r>
          </w:p>
        </w:tc>
        <w:tc>
          <w:tcPr>
            <w:tcW w:w="1116"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24 996</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28 141</w:t>
            </w:r>
          </w:p>
        </w:tc>
        <w:tc>
          <w:tcPr>
            <w:tcW w:w="1117"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32 672</w:t>
            </w:r>
          </w:p>
        </w:tc>
        <w:tc>
          <w:tcPr>
            <w:tcW w:w="1174"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34 966</w:t>
            </w:r>
          </w:p>
        </w:tc>
        <w:tc>
          <w:tcPr>
            <w:tcW w:w="1132"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38 663</w:t>
            </w:r>
          </w:p>
        </w:tc>
        <w:tc>
          <w:tcPr>
            <w:tcW w:w="1193" w:type="dxa"/>
            <w:tcBorders>
              <w:top w:val="nil"/>
              <w:left w:val="nil"/>
              <w:bottom w:val="single" w:sz="4" w:space="0" w:color="auto"/>
              <w:right w:val="single" w:sz="4" w:space="0" w:color="auto"/>
            </w:tcBorders>
            <w:vAlign w:val="center"/>
            <w:hideMark/>
          </w:tcPr>
          <w:p w:rsidR="004C4FFE" w:rsidRDefault="004C4FFE">
            <w:pPr>
              <w:jc w:val="center"/>
              <w:rPr>
                <w:sz w:val="18"/>
                <w:szCs w:val="18"/>
              </w:rPr>
            </w:pPr>
            <w:r>
              <w:rPr>
                <w:sz w:val="18"/>
                <w:szCs w:val="18"/>
              </w:rPr>
              <w:t>39 900</w:t>
            </w:r>
          </w:p>
        </w:tc>
      </w:tr>
      <w:tr w:rsidR="004C4FFE" w:rsidTr="004C4FFE">
        <w:trPr>
          <w:cantSplit/>
          <w:trHeight w:val="283"/>
          <w:jc w:val="center"/>
        </w:trPr>
        <w:tc>
          <w:tcPr>
            <w:tcW w:w="2811"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Расчетная доля расходов на ЖКУ в совокупном доходе семьи включая льготы и субсидии</w:t>
            </w:r>
          </w:p>
        </w:tc>
        <w:tc>
          <w:tcPr>
            <w:tcW w:w="1423" w:type="dxa"/>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5,35%</w:t>
            </w: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5,43%</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5,53%</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5,63%</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5,79%</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5,97%</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6,09%</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6,22%</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6,36%</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6,49%</w:t>
            </w:r>
          </w:p>
        </w:tc>
      </w:tr>
      <w:tr w:rsidR="004C4FFE" w:rsidTr="004C4FFE">
        <w:trPr>
          <w:cantSplit/>
          <w:trHeight w:val="283"/>
          <w:jc w:val="center"/>
        </w:trPr>
        <w:tc>
          <w:tcPr>
            <w:tcW w:w="2811"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Расчетная доля расходов на ЖКУ в совокупном доходе семьи включая льготы и субсидии с учётом тарифной надбавки Программы</w:t>
            </w:r>
          </w:p>
        </w:tc>
        <w:tc>
          <w:tcPr>
            <w:tcW w:w="1423" w:type="dxa"/>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6,12%</w:t>
            </w:r>
          </w:p>
        </w:tc>
        <w:tc>
          <w:tcPr>
            <w:tcW w:w="1179"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6,43%</w:t>
            </w:r>
          </w:p>
        </w:tc>
        <w:tc>
          <w:tcPr>
            <w:tcW w:w="112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7,08%</w:t>
            </w:r>
          </w:p>
        </w:tc>
        <w:tc>
          <w:tcPr>
            <w:tcW w:w="113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7,18%</w:t>
            </w:r>
          </w:p>
        </w:tc>
        <w:tc>
          <w:tcPr>
            <w:tcW w:w="1116"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7,33%</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7,47%</w:t>
            </w:r>
          </w:p>
        </w:tc>
        <w:tc>
          <w:tcPr>
            <w:tcW w:w="1117"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7,61%</w:t>
            </w:r>
          </w:p>
        </w:tc>
        <w:tc>
          <w:tcPr>
            <w:tcW w:w="1174"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7,77%</w:t>
            </w:r>
          </w:p>
        </w:tc>
        <w:tc>
          <w:tcPr>
            <w:tcW w:w="1132"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7,95%</w:t>
            </w:r>
          </w:p>
        </w:tc>
        <w:tc>
          <w:tcPr>
            <w:tcW w:w="1193" w:type="dxa"/>
            <w:tcBorders>
              <w:top w:val="nil"/>
              <w:left w:val="nil"/>
              <w:bottom w:val="single" w:sz="4" w:space="0" w:color="auto"/>
              <w:right w:val="single" w:sz="4" w:space="0" w:color="auto"/>
            </w:tcBorders>
            <w:noWrap/>
            <w:vAlign w:val="center"/>
            <w:hideMark/>
          </w:tcPr>
          <w:p w:rsidR="004C4FFE" w:rsidRDefault="004C4FFE">
            <w:pPr>
              <w:jc w:val="center"/>
              <w:rPr>
                <w:sz w:val="18"/>
                <w:szCs w:val="18"/>
              </w:rPr>
            </w:pPr>
            <w:r>
              <w:rPr>
                <w:sz w:val="18"/>
                <w:szCs w:val="18"/>
              </w:rPr>
              <w:t>8,12%</w:t>
            </w:r>
          </w:p>
        </w:tc>
      </w:tr>
    </w:tbl>
    <w:p w:rsidR="004C4FFE" w:rsidRDefault="004C4FFE" w:rsidP="004C4FFE">
      <w:pPr>
        <w:autoSpaceDE w:val="0"/>
        <w:autoSpaceDN w:val="0"/>
        <w:adjustRightInd w:val="0"/>
        <w:rPr>
          <w:rFonts w:eastAsiaTheme="minorEastAsia" w:cs="Times New Roman"/>
          <w:sz w:val="24"/>
          <w:szCs w:val="24"/>
          <w:lang w:eastAsia="ru-RU"/>
        </w:rPr>
      </w:pPr>
    </w:p>
    <w:p w:rsidR="004C4FFE" w:rsidRDefault="004C4FFE" w:rsidP="004C4FFE">
      <w:pPr>
        <w:autoSpaceDE w:val="0"/>
        <w:autoSpaceDN w:val="0"/>
        <w:adjustRightInd w:val="0"/>
        <w:rPr>
          <w:rFonts w:eastAsiaTheme="minorEastAsia" w:cs="Times New Roman"/>
          <w:szCs w:val="26"/>
          <w:lang w:eastAsia="ru-RU"/>
        </w:rPr>
      </w:pPr>
      <w:r>
        <w:rPr>
          <w:rFonts w:eastAsiaTheme="minorEastAsia" w:cs="Times New Roman"/>
          <w:szCs w:val="26"/>
          <w:lang w:eastAsia="ru-RU"/>
        </w:rPr>
        <w:t>Расчет платы населения за коммунальные услуги, с выделением каждого вида коммунальных услуг с учетом дополнительных расходов бюджета на социальную поддержку и субсидии населению представлен в разделе 15 «Прогноз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 Обосновывающих материалов.</w:t>
      </w:r>
    </w:p>
    <w:p w:rsidR="004C4FFE" w:rsidRDefault="004C4FFE" w:rsidP="004C4FFE">
      <w:pPr>
        <w:autoSpaceDE w:val="0"/>
        <w:autoSpaceDN w:val="0"/>
        <w:adjustRightInd w:val="0"/>
        <w:rPr>
          <w:rFonts w:eastAsiaTheme="minorEastAsia" w:cs="Times New Roman"/>
          <w:szCs w:val="26"/>
          <w:lang w:eastAsia="ru-RU"/>
        </w:rPr>
      </w:pPr>
      <w:r>
        <w:rPr>
          <w:rFonts w:eastAsiaTheme="minorEastAsia" w:cs="Times New Roman"/>
          <w:szCs w:val="26"/>
          <w:lang w:eastAsia="ru-RU"/>
        </w:rPr>
        <w:t>Согласно Приказу Министерства регионального развития Российской Федерации от 23 августа 2010 г. № 378 «Об утверждении методических указаний по расчету предельных индексов изменения размера платы граждан за коммунальные услуги», расчетная доля расходов на ЖКУ в совокупном доходе семьи, включая льготы и субсидии с учётом тарифной надбавки Программы, соответствует критерию доступности (не более 8,12 % к 2025 году).</w:t>
      </w:r>
    </w:p>
    <w:p w:rsidR="004C4FFE" w:rsidRDefault="004C4FFE" w:rsidP="004C4FFE">
      <w:pPr>
        <w:autoSpaceDE w:val="0"/>
        <w:autoSpaceDN w:val="0"/>
        <w:adjustRightInd w:val="0"/>
        <w:rPr>
          <w:rFonts w:eastAsiaTheme="minorEastAsia" w:cs="Times New Roman"/>
          <w:szCs w:val="26"/>
          <w:lang w:eastAsia="ru-RU"/>
        </w:rPr>
      </w:pPr>
      <w:r>
        <w:rPr>
          <w:rFonts w:eastAsiaTheme="minorEastAsia" w:cs="Times New Roman"/>
          <w:szCs w:val="26"/>
          <w:lang w:eastAsia="ru-RU"/>
        </w:rPr>
        <w:t xml:space="preserve">Динамика уровня платы (тарифа) за подключение (присоединение) на весь период разработки программы по каждому виду ресурса в ценах отчетного года представлена в разделе 14 «Программы инвестиционных проектов, тариф и плата (тариф) за подключение (присоединение)». Динамика уровня тарифов по каждому виду ресурса в ценах </w:t>
      </w:r>
      <w:proofErr w:type="gramStart"/>
      <w:r>
        <w:rPr>
          <w:rFonts w:eastAsiaTheme="minorEastAsia" w:cs="Times New Roman"/>
          <w:szCs w:val="26"/>
          <w:lang w:eastAsia="ru-RU"/>
        </w:rPr>
        <w:t>отчетного года</w:t>
      </w:r>
      <w:proofErr w:type="gramEnd"/>
      <w:r>
        <w:rPr>
          <w:rFonts w:eastAsiaTheme="minorEastAsia" w:cs="Times New Roman"/>
          <w:szCs w:val="26"/>
          <w:lang w:eastAsia="ru-RU"/>
        </w:rPr>
        <w:t xml:space="preserve"> и оценка их доступности представлены в разделе 15 «Прогноз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 Обосновывающих материалов.</w:t>
      </w:r>
    </w:p>
    <w:p w:rsidR="004C4FFE" w:rsidRDefault="004C4FFE" w:rsidP="004C4FFE">
      <w:pPr>
        <w:ind w:left="7655"/>
        <w:contextualSpacing/>
        <w:jc w:val="right"/>
        <w:rPr>
          <w:rFonts w:eastAsia="Calibri" w:cs="Times New Roman"/>
          <w:szCs w:val="26"/>
        </w:rPr>
      </w:pPr>
    </w:p>
    <w:p w:rsidR="004C4FFE" w:rsidRDefault="004C4FFE" w:rsidP="004C4FFE">
      <w:pPr>
        <w:jc w:val="left"/>
        <w:rPr>
          <w:rFonts w:eastAsia="Calibri" w:cs="Times New Roman"/>
          <w:szCs w:val="26"/>
        </w:rPr>
        <w:sectPr w:rsidR="004C4FFE">
          <w:pgSz w:w="16838" w:h="11906" w:orient="landscape"/>
          <w:pgMar w:top="1701" w:right="1134" w:bottom="850" w:left="1134" w:header="708" w:footer="708" w:gutter="0"/>
          <w:cols w:space="720"/>
        </w:sectPr>
      </w:pPr>
    </w:p>
    <w:p w:rsidR="004C4FFE" w:rsidRDefault="004C4FFE" w:rsidP="004C4FFE">
      <w:pPr>
        <w:ind w:left="7655"/>
        <w:contextualSpacing/>
        <w:jc w:val="right"/>
        <w:rPr>
          <w:rFonts w:eastAsia="Calibri" w:cs="Times New Roman"/>
          <w:szCs w:val="26"/>
        </w:rPr>
      </w:pPr>
      <w:r>
        <w:rPr>
          <w:rFonts w:eastAsia="Calibri" w:cs="Times New Roman"/>
          <w:szCs w:val="26"/>
        </w:rPr>
        <w:lastRenderedPageBreak/>
        <w:t>Таблица 6.3</w:t>
      </w:r>
    </w:p>
    <w:p w:rsidR="004C4FFE" w:rsidRDefault="004C4FFE" w:rsidP="004C4FFE">
      <w:pPr>
        <w:autoSpaceDE w:val="0"/>
        <w:autoSpaceDN w:val="0"/>
        <w:adjustRightInd w:val="0"/>
        <w:jc w:val="center"/>
        <w:rPr>
          <w:rFonts w:eastAsia="Times New Roman" w:cs="Times New Roman"/>
          <w:szCs w:val="26"/>
          <w:lang w:eastAsia="ru-RU"/>
        </w:rPr>
      </w:pPr>
      <w:r>
        <w:rPr>
          <w:rFonts w:eastAsia="Times New Roman" w:cs="Times New Roman"/>
          <w:szCs w:val="26"/>
          <w:lang w:eastAsia="ru-RU"/>
        </w:rPr>
        <w:t>Динамика прироста тарифов и применения платы (тарифа) за подключение (присоединение) по каждому виду ресурса при реализации Программы</w:t>
      </w:r>
    </w:p>
    <w:tbl>
      <w:tblPr>
        <w:tblW w:w="5000" w:type="pct"/>
        <w:jc w:val="center"/>
        <w:tblLook w:val="04A0" w:firstRow="1" w:lastRow="0" w:firstColumn="1" w:lastColumn="0" w:noHBand="0" w:noVBand="1"/>
      </w:tblPr>
      <w:tblGrid>
        <w:gridCol w:w="4449"/>
        <w:gridCol w:w="1103"/>
        <w:gridCol w:w="1034"/>
        <w:gridCol w:w="981"/>
        <w:gridCol w:w="929"/>
        <w:gridCol w:w="981"/>
        <w:gridCol w:w="1104"/>
        <w:gridCol w:w="1034"/>
        <w:gridCol w:w="1034"/>
        <w:gridCol w:w="877"/>
        <w:gridCol w:w="1034"/>
      </w:tblGrid>
      <w:tr w:rsidR="004C4FFE" w:rsidTr="004C4FFE">
        <w:trPr>
          <w:trHeight w:val="300"/>
          <w:jc w:val="center"/>
        </w:trPr>
        <w:tc>
          <w:tcPr>
            <w:tcW w:w="1528" w:type="pct"/>
            <w:tcBorders>
              <w:top w:val="single" w:sz="4" w:space="0" w:color="auto"/>
              <w:left w:val="single" w:sz="4" w:space="0" w:color="auto"/>
              <w:bottom w:val="single" w:sz="4" w:space="0" w:color="auto"/>
              <w:right w:val="single" w:sz="4" w:space="0" w:color="auto"/>
            </w:tcBorders>
            <w:noWrap/>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Показатели</w:t>
            </w:r>
          </w:p>
        </w:tc>
        <w:tc>
          <w:tcPr>
            <w:tcW w:w="379"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2016</w:t>
            </w:r>
          </w:p>
        </w:tc>
        <w:tc>
          <w:tcPr>
            <w:tcW w:w="355"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2017</w:t>
            </w:r>
          </w:p>
        </w:tc>
        <w:tc>
          <w:tcPr>
            <w:tcW w:w="337"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2018</w:t>
            </w:r>
          </w:p>
        </w:tc>
        <w:tc>
          <w:tcPr>
            <w:tcW w:w="319"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2019</w:t>
            </w:r>
          </w:p>
        </w:tc>
        <w:tc>
          <w:tcPr>
            <w:tcW w:w="337"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2020</w:t>
            </w:r>
          </w:p>
        </w:tc>
        <w:tc>
          <w:tcPr>
            <w:tcW w:w="379"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2021</w:t>
            </w:r>
          </w:p>
        </w:tc>
        <w:tc>
          <w:tcPr>
            <w:tcW w:w="355"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2022</w:t>
            </w:r>
          </w:p>
        </w:tc>
        <w:tc>
          <w:tcPr>
            <w:tcW w:w="355"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2023</w:t>
            </w:r>
          </w:p>
        </w:tc>
        <w:tc>
          <w:tcPr>
            <w:tcW w:w="301"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2024</w:t>
            </w:r>
          </w:p>
        </w:tc>
        <w:tc>
          <w:tcPr>
            <w:tcW w:w="355" w:type="pct"/>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2025</w:t>
            </w:r>
          </w:p>
        </w:tc>
      </w:tr>
      <w:tr w:rsidR="004C4FFE" w:rsidTr="004C4FFE">
        <w:trPr>
          <w:trHeight w:val="300"/>
          <w:jc w:val="center"/>
        </w:trPr>
        <w:tc>
          <w:tcPr>
            <w:tcW w:w="5000" w:type="pct"/>
            <w:gridSpan w:val="11"/>
            <w:tcBorders>
              <w:top w:val="single" w:sz="4" w:space="0" w:color="auto"/>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Тарифные источники финансирования Программы</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Тарифные источники финансирования, %</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20,0%</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электроэнергию,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36 827</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62 106</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93 850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106 379</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120 890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137 492</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155 810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175 363</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193 927</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214 045</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 xml:space="preserve">на </w:t>
            </w:r>
            <w:proofErr w:type="spellStart"/>
            <w:r>
              <w:rPr>
                <w:rFonts w:eastAsia="Times New Roman" w:cs="Times New Roman"/>
                <w:sz w:val="18"/>
                <w:szCs w:val="18"/>
                <w:lang w:eastAsia="ru-RU"/>
              </w:rPr>
              <w:t>теплоэнергию</w:t>
            </w:r>
            <w:proofErr w:type="spellEnd"/>
            <w:r>
              <w:rPr>
                <w:rFonts w:eastAsia="Times New Roman" w:cs="Times New Roman"/>
                <w:sz w:val="18"/>
                <w:szCs w:val="18"/>
                <w:lang w:eastAsia="ru-RU"/>
              </w:rPr>
              <w:t>,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186 843</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297 543</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414 545</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431 875</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450 194</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467 752</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484 966</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502 784</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521 485</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539 792</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ГВС,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45 889</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74 526</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102 016</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104 369</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106 955</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109 378</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111 521</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113 789</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116 106</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118 342</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водоснабжение,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107 979</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169 845</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243 971</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259 745</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275 729</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292 653</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310 288</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328 905</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348 641</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369 523</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водоотведение,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45 572</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71 731</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110 051</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129 798</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152 932</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177 825</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191 871</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206 621</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226 755</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248 220</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захоронение (утилизацию) ТКО,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5 912</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9 253</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12 824</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13 650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14 338</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15 026</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15 628</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16 120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16 741</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17 552</w:t>
            </w:r>
          </w:p>
        </w:tc>
      </w:tr>
      <w:tr w:rsidR="004C4FFE" w:rsidTr="004C4FFE">
        <w:trPr>
          <w:trHeight w:val="300"/>
          <w:jc w:val="center"/>
        </w:trPr>
        <w:tc>
          <w:tcPr>
            <w:tcW w:w="5000" w:type="pct"/>
            <w:gridSpan w:val="11"/>
            <w:tcBorders>
              <w:top w:val="single" w:sz="4" w:space="0" w:color="auto"/>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Источники финансирования в виде платы за подключение</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электроэнергию,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3 190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1 761</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 xml:space="preserve">на </w:t>
            </w:r>
            <w:proofErr w:type="spellStart"/>
            <w:r>
              <w:rPr>
                <w:rFonts w:eastAsia="Times New Roman" w:cs="Times New Roman"/>
                <w:sz w:val="18"/>
                <w:szCs w:val="18"/>
                <w:lang w:eastAsia="ru-RU"/>
              </w:rPr>
              <w:t>теплоэнергию</w:t>
            </w:r>
            <w:proofErr w:type="spellEnd"/>
            <w:r>
              <w:rPr>
                <w:rFonts w:eastAsia="Times New Roman" w:cs="Times New Roman"/>
                <w:sz w:val="18"/>
                <w:szCs w:val="18"/>
                <w:lang w:eastAsia="ru-RU"/>
              </w:rPr>
              <w:t>,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ГВС,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водоснабжение,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21 476</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водоотведение,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8 824</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захоронение (утилизацию) ТКО,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0</w:t>
            </w:r>
          </w:p>
        </w:tc>
      </w:tr>
      <w:tr w:rsidR="004C4FFE" w:rsidTr="004C4FFE">
        <w:trPr>
          <w:trHeight w:val="300"/>
          <w:jc w:val="center"/>
        </w:trPr>
        <w:tc>
          <w:tcPr>
            <w:tcW w:w="5000" w:type="pct"/>
            <w:gridSpan w:val="11"/>
            <w:tcBorders>
              <w:top w:val="single" w:sz="4" w:space="0" w:color="auto"/>
              <w:left w:val="single" w:sz="4" w:space="0" w:color="auto"/>
              <w:bottom w:val="single" w:sz="4" w:space="0" w:color="auto"/>
              <w:right w:val="single" w:sz="4" w:space="0" w:color="auto"/>
            </w:tcBorders>
            <w:noWrap/>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Всего источников финансирования за счёт роста тарифа</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электроэнергию,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40 017</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63 867</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93 850</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106 379</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120 890</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137 492</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155 810</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175 363</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193 927</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214 045</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 xml:space="preserve">на </w:t>
            </w:r>
            <w:proofErr w:type="spellStart"/>
            <w:r>
              <w:rPr>
                <w:rFonts w:eastAsia="Times New Roman" w:cs="Times New Roman"/>
                <w:sz w:val="18"/>
                <w:szCs w:val="18"/>
                <w:lang w:eastAsia="ru-RU"/>
              </w:rPr>
              <w:t>теплоэнергию</w:t>
            </w:r>
            <w:proofErr w:type="spellEnd"/>
            <w:r>
              <w:rPr>
                <w:rFonts w:eastAsia="Times New Roman" w:cs="Times New Roman"/>
                <w:sz w:val="18"/>
                <w:szCs w:val="18"/>
                <w:lang w:eastAsia="ru-RU"/>
              </w:rPr>
              <w:t>,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186 843</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297 543</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414 545</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431 875</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450 194</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467 752</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484 966</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502 784</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521 485</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539 792</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ГВС,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45 889</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74 526</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102 016</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104 369</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106 955</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109 378</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111 521</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113 789</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116 106</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118 342</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водоснабжение,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129 455</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169 845</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243 971</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259 745</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275 729</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292 653</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310 288</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328 905</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348 641</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369 523</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водоотведение,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54 396</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71 731</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110 051</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129 798</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152 932</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177 825</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191 871</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206 621</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226 755</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248 220</w:t>
            </w:r>
          </w:p>
        </w:tc>
      </w:tr>
      <w:tr w:rsidR="004C4FFE" w:rsidTr="004C4FFE">
        <w:trPr>
          <w:trHeight w:val="300"/>
          <w:jc w:val="center"/>
        </w:trPr>
        <w:tc>
          <w:tcPr>
            <w:tcW w:w="1528" w:type="pct"/>
            <w:tcBorders>
              <w:top w:val="nil"/>
              <w:left w:val="single" w:sz="4" w:space="0" w:color="auto"/>
              <w:bottom w:val="single" w:sz="4" w:space="0" w:color="auto"/>
              <w:right w:val="single" w:sz="4" w:space="0" w:color="auto"/>
            </w:tcBorders>
            <w:vAlign w:val="center"/>
            <w:hideMark/>
          </w:tcPr>
          <w:p w:rsidR="004C4FFE" w:rsidRDefault="004C4FFE">
            <w:pPr>
              <w:ind w:firstLineChars="200" w:firstLine="360"/>
              <w:jc w:val="left"/>
              <w:rPr>
                <w:rFonts w:eastAsia="Times New Roman" w:cs="Times New Roman"/>
                <w:sz w:val="18"/>
                <w:szCs w:val="18"/>
                <w:lang w:eastAsia="ru-RU"/>
              </w:rPr>
            </w:pPr>
            <w:r>
              <w:rPr>
                <w:rFonts w:eastAsia="Times New Roman" w:cs="Times New Roman"/>
                <w:sz w:val="18"/>
                <w:szCs w:val="18"/>
                <w:lang w:eastAsia="ru-RU"/>
              </w:rPr>
              <w:t>на захоронение (утилизацию) ТКО, тыс. руб.</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5 912</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9 253</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12 824</w:t>
            </w:r>
          </w:p>
        </w:tc>
        <w:tc>
          <w:tcPr>
            <w:tcW w:w="31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13 650</w:t>
            </w:r>
          </w:p>
        </w:tc>
        <w:tc>
          <w:tcPr>
            <w:tcW w:w="337"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14 338</w:t>
            </w:r>
          </w:p>
        </w:tc>
        <w:tc>
          <w:tcPr>
            <w:tcW w:w="379"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15 026</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15 628</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16 120</w:t>
            </w:r>
          </w:p>
        </w:tc>
        <w:tc>
          <w:tcPr>
            <w:tcW w:w="301"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16 741</w:t>
            </w:r>
          </w:p>
        </w:tc>
        <w:tc>
          <w:tcPr>
            <w:tcW w:w="355" w:type="pct"/>
            <w:tcBorders>
              <w:top w:val="nil"/>
              <w:left w:val="nil"/>
              <w:bottom w:val="single" w:sz="4" w:space="0" w:color="auto"/>
              <w:right w:val="single" w:sz="4" w:space="0" w:color="auto"/>
            </w:tcBorders>
            <w:noWrap/>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17 552</w:t>
            </w:r>
          </w:p>
        </w:tc>
      </w:tr>
    </w:tbl>
    <w:p w:rsidR="004C4FFE" w:rsidRDefault="004C4FFE" w:rsidP="004C4FFE">
      <w:pPr>
        <w:jc w:val="left"/>
        <w:rPr>
          <w:rFonts w:eastAsia="Calibri" w:cs="Times New Roman"/>
        </w:rPr>
        <w:sectPr w:rsidR="004C4FFE">
          <w:pgSz w:w="16838" w:h="11906" w:orient="landscape"/>
          <w:pgMar w:top="1701" w:right="1134" w:bottom="850" w:left="1134" w:header="708" w:footer="708" w:gutter="0"/>
          <w:cols w:space="720"/>
        </w:sectPr>
      </w:pPr>
    </w:p>
    <w:p w:rsidR="004C4FFE" w:rsidRDefault="004C4FFE" w:rsidP="004C4FFE">
      <w:pPr>
        <w:ind w:left="7655"/>
        <w:contextualSpacing/>
        <w:jc w:val="right"/>
        <w:rPr>
          <w:rFonts w:eastAsia="Calibri" w:cs="Times New Roman"/>
          <w:szCs w:val="26"/>
        </w:rPr>
      </w:pPr>
      <w:r>
        <w:rPr>
          <w:rFonts w:eastAsia="Calibri" w:cs="Times New Roman"/>
          <w:szCs w:val="26"/>
        </w:rPr>
        <w:lastRenderedPageBreak/>
        <w:t>Таблица 6.4</w:t>
      </w:r>
    </w:p>
    <w:p w:rsidR="004C4FFE" w:rsidRDefault="004C4FFE" w:rsidP="004C4FFE">
      <w:pPr>
        <w:autoSpaceDE w:val="0"/>
        <w:autoSpaceDN w:val="0"/>
        <w:adjustRightInd w:val="0"/>
        <w:jc w:val="center"/>
        <w:rPr>
          <w:rFonts w:eastAsia="Times New Roman" w:cs="Times New Roman"/>
          <w:szCs w:val="26"/>
          <w:lang w:eastAsia="ru-RU"/>
        </w:rPr>
      </w:pPr>
      <w:r>
        <w:rPr>
          <w:rFonts w:eastAsia="Times New Roman" w:cs="Times New Roman"/>
          <w:szCs w:val="26"/>
          <w:lang w:eastAsia="ru-RU"/>
        </w:rPr>
        <w:t>Динамика уровней доходов населения в соотношении с расходами на оплату ЖКУ при реализации Программы</w:t>
      </w:r>
    </w:p>
    <w:tbl>
      <w:tblPr>
        <w:tblW w:w="14880" w:type="dxa"/>
        <w:jc w:val="center"/>
        <w:tblLook w:val="04A0" w:firstRow="1" w:lastRow="0" w:firstColumn="1" w:lastColumn="0" w:noHBand="0" w:noVBand="1"/>
      </w:tblPr>
      <w:tblGrid>
        <w:gridCol w:w="2617"/>
        <w:gridCol w:w="991"/>
        <w:gridCol w:w="1077"/>
        <w:gridCol w:w="1123"/>
        <w:gridCol w:w="1134"/>
        <w:gridCol w:w="1134"/>
        <w:gridCol w:w="1134"/>
        <w:gridCol w:w="1134"/>
        <w:gridCol w:w="1134"/>
        <w:gridCol w:w="1134"/>
        <w:gridCol w:w="1134"/>
        <w:gridCol w:w="1134"/>
      </w:tblGrid>
      <w:tr w:rsidR="004C4FFE" w:rsidTr="004C4FFE">
        <w:trPr>
          <w:trHeight w:val="300"/>
          <w:jc w:val="center"/>
        </w:trPr>
        <w:tc>
          <w:tcPr>
            <w:tcW w:w="2617" w:type="dxa"/>
            <w:tcBorders>
              <w:top w:val="single" w:sz="4" w:space="0" w:color="auto"/>
              <w:left w:val="single" w:sz="4" w:space="0" w:color="auto"/>
              <w:bottom w:val="single" w:sz="4" w:space="0" w:color="auto"/>
              <w:right w:val="single" w:sz="4" w:space="0" w:color="auto"/>
            </w:tcBorders>
            <w:noWrap/>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Показатели</w:t>
            </w:r>
          </w:p>
        </w:tc>
        <w:tc>
          <w:tcPr>
            <w:tcW w:w="991" w:type="dxa"/>
            <w:tcBorders>
              <w:top w:val="single" w:sz="4" w:space="0" w:color="auto"/>
              <w:left w:val="nil"/>
              <w:bottom w:val="single" w:sz="4" w:space="0" w:color="auto"/>
              <w:right w:val="single" w:sz="4" w:space="0" w:color="auto"/>
            </w:tcBorders>
            <w:noWrap/>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 Ед. изм.</w:t>
            </w:r>
          </w:p>
        </w:tc>
        <w:tc>
          <w:tcPr>
            <w:tcW w:w="1077"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2016</w:t>
            </w:r>
          </w:p>
        </w:tc>
        <w:tc>
          <w:tcPr>
            <w:tcW w:w="1123"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2017</w:t>
            </w:r>
          </w:p>
        </w:tc>
        <w:tc>
          <w:tcPr>
            <w:tcW w:w="1134"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2018</w:t>
            </w:r>
          </w:p>
        </w:tc>
        <w:tc>
          <w:tcPr>
            <w:tcW w:w="1134"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2019</w:t>
            </w:r>
          </w:p>
        </w:tc>
        <w:tc>
          <w:tcPr>
            <w:tcW w:w="1134"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2020</w:t>
            </w:r>
          </w:p>
        </w:tc>
        <w:tc>
          <w:tcPr>
            <w:tcW w:w="1134"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2021</w:t>
            </w:r>
          </w:p>
        </w:tc>
        <w:tc>
          <w:tcPr>
            <w:tcW w:w="1134"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2022</w:t>
            </w:r>
          </w:p>
        </w:tc>
        <w:tc>
          <w:tcPr>
            <w:tcW w:w="1134"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2023</w:t>
            </w:r>
          </w:p>
        </w:tc>
        <w:tc>
          <w:tcPr>
            <w:tcW w:w="1134"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2024</w:t>
            </w:r>
          </w:p>
        </w:tc>
        <w:tc>
          <w:tcPr>
            <w:tcW w:w="1134" w:type="dxa"/>
            <w:tcBorders>
              <w:top w:val="single" w:sz="4" w:space="0" w:color="auto"/>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2025</w:t>
            </w:r>
          </w:p>
        </w:tc>
      </w:tr>
      <w:tr w:rsidR="004C4FFE" w:rsidTr="004C4FFE">
        <w:trPr>
          <w:trHeight w:val="72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Доход населения нетрудоспособного возраста и не работающих, включая студентов</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тыс. руб.</w:t>
            </w:r>
          </w:p>
        </w:tc>
        <w:tc>
          <w:tcPr>
            <w:tcW w:w="1077"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23"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c>
          <w:tcPr>
            <w:tcW w:w="1134" w:type="dxa"/>
            <w:tcBorders>
              <w:top w:val="nil"/>
              <w:left w:val="nil"/>
              <w:bottom w:val="single" w:sz="4" w:space="0" w:color="auto"/>
              <w:right w:val="single" w:sz="4" w:space="0" w:color="auto"/>
            </w:tcBorders>
            <w:vAlign w:val="center"/>
            <w:hideMark/>
          </w:tcPr>
          <w:p w:rsidR="004C4FFE" w:rsidRDefault="004C4FFE">
            <w:pPr>
              <w:jc w:val="center"/>
              <w:rPr>
                <w:rFonts w:cs="Times New Roman"/>
                <w:sz w:val="18"/>
                <w:szCs w:val="18"/>
              </w:rPr>
            </w:pPr>
            <w:r>
              <w:rPr>
                <w:rFonts w:cs="Times New Roman"/>
                <w:sz w:val="18"/>
                <w:szCs w:val="18"/>
              </w:rPr>
              <w:t>0</w:t>
            </w:r>
          </w:p>
        </w:tc>
      </w:tr>
      <w:tr w:rsidR="004C4FFE" w:rsidTr="004C4FFE">
        <w:trPr>
          <w:trHeight w:val="48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Доход занятого населения (включая занятых пенсионеров и предпринимателей)</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тыс. руб.</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90 884 913</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95 338 274</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99 533 158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104 012 150</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107 652 575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111 097 458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114 652 576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118 321 459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122 107 745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126 015 193</w:t>
            </w:r>
          </w:p>
        </w:tc>
      </w:tr>
      <w:tr w:rsidR="004C4FFE" w:rsidTr="004C4FFE">
        <w:trPr>
          <w:trHeight w:val="30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Доход не работающих пенсионеров</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тыс. руб.</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5 037 629</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5 284 473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5 516 989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5 765 254</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5 967 038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6 157 983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6 355 038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6 558 400</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6 768 268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6 984 853</w:t>
            </w:r>
          </w:p>
        </w:tc>
      </w:tr>
      <w:tr w:rsidR="004C4FFE" w:rsidTr="004C4FFE">
        <w:trPr>
          <w:trHeight w:val="30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Годовой доход населения</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тыс. руб.</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95 922 542</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100 622 746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105 050 147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109 777 404</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113 619 613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117 255 440</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121 007 615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124 879 858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128 876 014</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133 000 046</w:t>
            </w:r>
          </w:p>
        </w:tc>
      </w:tr>
      <w:tr w:rsidR="004C4FFE" w:rsidTr="004C4FFE">
        <w:trPr>
          <w:trHeight w:val="30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Социальная поддержка (льготы, субсидии)</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тыс. руб.</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15 000</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16 100</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18 909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21 955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24 996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28 141</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32 672</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34 966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38 663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39 900</w:t>
            </w:r>
          </w:p>
        </w:tc>
      </w:tr>
      <w:tr w:rsidR="004C4FFE" w:rsidTr="004C4FFE">
        <w:trPr>
          <w:trHeight w:val="30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Общий доход населения</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тыс. руб.</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95 937 542</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100 638 846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105 069 056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109 799 359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113 644 609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117 283 582</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121 040 287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124 914 825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128 914 677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133 039 946</w:t>
            </w:r>
          </w:p>
        </w:tc>
      </w:tr>
      <w:tr w:rsidR="004C4FFE" w:rsidTr="004C4FFE">
        <w:trPr>
          <w:trHeight w:val="30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Численность населения</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чел.</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178 150</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178 239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178 329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178 418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178 507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178 597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178 686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178 776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178 865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178 954</w:t>
            </w:r>
          </w:p>
        </w:tc>
      </w:tr>
      <w:tr w:rsidR="004C4FFE" w:rsidTr="004C4FFE">
        <w:trPr>
          <w:trHeight w:val="30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Среднедушевой доход, в год</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руб.</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538 521</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564 629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589 187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615 405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636 640</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656 694</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677 391</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698 723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720 737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743 431</w:t>
            </w:r>
          </w:p>
        </w:tc>
      </w:tr>
      <w:tr w:rsidR="004C4FFE" w:rsidTr="004C4FFE">
        <w:trPr>
          <w:trHeight w:val="48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b/>
                <w:bCs/>
                <w:sz w:val="18"/>
                <w:szCs w:val="18"/>
                <w:lang w:eastAsia="ru-RU"/>
              </w:rPr>
            </w:pPr>
            <w:r>
              <w:rPr>
                <w:rFonts w:eastAsia="Times New Roman" w:cs="Times New Roman"/>
                <w:b/>
                <w:bCs/>
                <w:sz w:val="18"/>
                <w:szCs w:val="18"/>
                <w:lang w:eastAsia="ru-RU"/>
              </w:rPr>
              <w:t>Годовая сумма расходов населения на ЖКУ, тыс. руб.</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b/>
                <w:bCs/>
                <w:sz w:val="18"/>
                <w:szCs w:val="18"/>
                <w:lang w:eastAsia="ru-RU"/>
              </w:rPr>
            </w:pPr>
            <w:r>
              <w:rPr>
                <w:rFonts w:eastAsia="Times New Roman" w:cs="Times New Roman"/>
                <w:b/>
                <w:bCs/>
                <w:sz w:val="18"/>
                <w:szCs w:val="18"/>
                <w:lang w:eastAsia="ru-RU"/>
              </w:rPr>
              <w:t>тыс. руб.</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5 127 584</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5 462 887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5 809 372</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6 176 452</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6 578 875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6 999 092</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7 372 663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7 765 166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8 190 461</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b/>
                <w:bCs/>
                <w:sz w:val="18"/>
                <w:szCs w:val="18"/>
              </w:rPr>
            </w:pPr>
            <w:r>
              <w:rPr>
                <w:b/>
                <w:bCs/>
                <w:sz w:val="18"/>
                <w:szCs w:val="18"/>
              </w:rPr>
              <w:t>8 634 325</w:t>
            </w:r>
          </w:p>
        </w:tc>
      </w:tr>
      <w:tr w:rsidR="004C4FFE" w:rsidTr="004C4FFE">
        <w:trPr>
          <w:trHeight w:val="72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Расчетная доля расходов на ЖКУ в совокупном доходе семьи, включая льготы и субсидии</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5,35%</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5,43%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5,53%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5,63%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5,79%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5,97%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6,09%</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6,22%</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6,36%</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6,49%</w:t>
            </w:r>
          </w:p>
        </w:tc>
      </w:tr>
      <w:tr w:rsidR="004C4FFE" w:rsidTr="004C4FFE">
        <w:trPr>
          <w:trHeight w:val="960"/>
          <w:jc w:val="center"/>
        </w:trPr>
        <w:tc>
          <w:tcPr>
            <w:tcW w:w="2617" w:type="dxa"/>
            <w:tcBorders>
              <w:top w:val="nil"/>
              <w:left w:val="single" w:sz="4" w:space="0" w:color="auto"/>
              <w:bottom w:val="single" w:sz="4" w:space="0" w:color="auto"/>
              <w:right w:val="single" w:sz="4" w:space="0" w:color="auto"/>
            </w:tcBorders>
            <w:vAlign w:val="center"/>
            <w:hideMark/>
          </w:tcPr>
          <w:p w:rsidR="004C4FFE" w:rsidRDefault="004C4FFE">
            <w:pPr>
              <w:jc w:val="left"/>
              <w:rPr>
                <w:rFonts w:eastAsia="Times New Roman" w:cs="Times New Roman"/>
                <w:sz w:val="18"/>
                <w:szCs w:val="18"/>
                <w:lang w:eastAsia="ru-RU"/>
              </w:rPr>
            </w:pPr>
            <w:r>
              <w:rPr>
                <w:rFonts w:eastAsia="Times New Roman" w:cs="Times New Roman"/>
                <w:sz w:val="18"/>
                <w:szCs w:val="18"/>
                <w:lang w:eastAsia="ru-RU"/>
              </w:rPr>
              <w:t>Расчетная доля расходов на ЖКУ в совокупном доходе семьи, включая льготы и субсидии, с учётом тарифной надбавки Программы</w:t>
            </w:r>
          </w:p>
        </w:tc>
        <w:tc>
          <w:tcPr>
            <w:tcW w:w="991" w:type="dxa"/>
            <w:tcBorders>
              <w:top w:val="nil"/>
              <w:left w:val="nil"/>
              <w:bottom w:val="single" w:sz="4" w:space="0" w:color="auto"/>
              <w:right w:val="single" w:sz="4" w:space="0" w:color="auto"/>
            </w:tcBorders>
            <w:vAlign w:val="center"/>
            <w:hideMark/>
          </w:tcPr>
          <w:p w:rsidR="004C4FFE" w:rsidRDefault="004C4FFE">
            <w:pPr>
              <w:jc w:val="center"/>
              <w:rPr>
                <w:rFonts w:eastAsia="Times New Roman" w:cs="Times New Roman"/>
                <w:sz w:val="18"/>
                <w:szCs w:val="18"/>
                <w:lang w:eastAsia="ru-RU"/>
              </w:rPr>
            </w:pPr>
            <w:r>
              <w:rPr>
                <w:rFonts w:eastAsia="Times New Roman" w:cs="Times New Roman"/>
                <w:sz w:val="18"/>
                <w:szCs w:val="18"/>
                <w:lang w:eastAsia="ru-RU"/>
              </w:rPr>
              <w:t>%</w:t>
            </w:r>
          </w:p>
        </w:tc>
        <w:tc>
          <w:tcPr>
            <w:tcW w:w="1077"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6,12%</w:t>
            </w:r>
          </w:p>
        </w:tc>
        <w:tc>
          <w:tcPr>
            <w:tcW w:w="1123"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6,43%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7,08%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7,18%</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7,33%</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7,47%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7,61%</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7,77%</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7,95%</w:t>
            </w:r>
          </w:p>
        </w:tc>
        <w:tc>
          <w:tcPr>
            <w:tcW w:w="1134" w:type="dxa"/>
            <w:tcBorders>
              <w:top w:val="nil"/>
              <w:left w:val="nil"/>
              <w:bottom w:val="single" w:sz="4" w:space="0" w:color="auto"/>
              <w:right w:val="single" w:sz="4" w:space="0" w:color="auto"/>
            </w:tcBorders>
            <w:vAlign w:val="center"/>
            <w:hideMark/>
          </w:tcPr>
          <w:p w:rsidR="004C4FFE" w:rsidRDefault="004C4FFE">
            <w:pPr>
              <w:ind w:hanging="17"/>
              <w:jc w:val="center"/>
              <w:rPr>
                <w:sz w:val="18"/>
                <w:szCs w:val="18"/>
              </w:rPr>
            </w:pPr>
            <w:r>
              <w:rPr>
                <w:sz w:val="18"/>
                <w:szCs w:val="18"/>
              </w:rPr>
              <w:t>8,12%</w:t>
            </w:r>
          </w:p>
        </w:tc>
      </w:tr>
    </w:tbl>
    <w:p w:rsidR="004C4FFE" w:rsidRDefault="004C4FFE" w:rsidP="004C4FFE">
      <w:pPr>
        <w:autoSpaceDE w:val="0"/>
        <w:autoSpaceDN w:val="0"/>
        <w:adjustRightInd w:val="0"/>
        <w:jc w:val="center"/>
        <w:rPr>
          <w:rFonts w:eastAsia="Times New Roman" w:cs="Times New Roman"/>
          <w:sz w:val="24"/>
          <w:szCs w:val="24"/>
          <w:lang w:eastAsia="ru-RU"/>
        </w:rPr>
      </w:pPr>
    </w:p>
    <w:bookmarkEnd w:id="0"/>
    <w:bookmarkEnd w:id="1"/>
    <w:p w:rsidR="004C4FFE" w:rsidRDefault="004C4FFE" w:rsidP="004C4FFE">
      <w:pPr>
        <w:rPr>
          <w:lang w:eastAsia="ru-RU"/>
        </w:rPr>
      </w:pPr>
    </w:p>
    <w:p w:rsidR="004C4FFE" w:rsidRDefault="004C4FFE" w:rsidP="004C4FFE">
      <w:pPr>
        <w:rPr>
          <w:lang w:eastAsia="ru-RU"/>
        </w:rPr>
      </w:pPr>
    </w:p>
    <w:p w:rsidR="00F519C3" w:rsidRPr="00F45A65" w:rsidRDefault="00F519C3" w:rsidP="00F45A65"/>
    <w:sectPr w:rsidR="00F519C3" w:rsidRPr="00F45A65" w:rsidSect="004C4FFE">
      <w:pgSz w:w="16838" w:h="11906" w:orient="landscape" w:code="9"/>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702" w:rsidRDefault="00BF7702" w:rsidP="004C4FFE">
      <w:r>
        <w:separator/>
      </w:r>
    </w:p>
  </w:endnote>
  <w:endnote w:type="continuationSeparator" w:id="0">
    <w:p w:rsidR="00BF7702" w:rsidRDefault="00BF7702" w:rsidP="004C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645757"/>
      <w:docPartObj>
        <w:docPartGallery w:val="Page Numbers (Bottom of Page)"/>
        <w:docPartUnique/>
      </w:docPartObj>
    </w:sdtPr>
    <w:sdtEndPr>
      <w:rPr>
        <w:sz w:val="26"/>
        <w:szCs w:val="26"/>
      </w:rPr>
    </w:sdtEndPr>
    <w:sdtContent>
      <w:p w:rsidR="004C4FFE" w:rsidRPr="004C4FFE" w:rsidRDefault="004C4FFE">
        <w:pPr>
          <w:pStyle w:val="af2"/>
          <w:jc w:val="center"/>
          <w:rPr>
            <w:sz w:val="26"/>
            <w:szCs w:val="26"/>
          </w:rPr>
        </w:pPr>
        <w:r w:rsidRPr="004C4FFE">
          <w:rPr>
            <w:sz w:val="26"/>
            <w:szCs w:val="26"/>
          </w:rPr>
          <w:fldChar w:fldCharType="begin"/>
        </w:r>
        <w:r w:rsidRPr="004C4FFE">
          <w:rPr>
            <w:sz w:val="26"/>
            <w:szCs w:val="26"/>
          </w:rPr>
          <w:instrText>PAGE   \* MERGEFORMAT</w:instrText>
        </w:r>
        <w:r w:rsidRPr="004C4FFE">
          <w:rPr>
            <w:sz w:val="26"/>
            <w:szCs w:val="26"/>
          </w:rPr>
          <w:fldChar w:fldCharType="separate"/>
        </w:r>
        <w:r w:rsidR="00E500DE">
          <w:rPr>
            <w:noProof/>
            <w:sz w:val="26"/>
            <w:szCs w:val="26"/>
          </w:rPr>
          <w:t>7</w:t>
        </w:r>
        <w:r w:rsidRPr="004C4FFE">
          <w:rPr>
            <w:sz w:val="26"/>
            <w:szCs w:val="26"/>
          </w:rPr>
          <w:fldChar w:fldCharType="end"/>
        </w:r>
      </w:p>
    </w:sdtContent>
  </w:sdt>
  <w:p w:rsidR="004C4FFE" w:rsidRDefault="004C4FF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702" w:rsidRDefault="00BF7702" w:rsidP="004C4FFE">
      <w:r>
        <w:separator/>
      </w:r>
    </w:p>
  </w:footnote>
  <w:footnote w:type="continuationSeparator" w:id="0">
    <w:p w:rsidR="00BF7702" w:rsidRDefault="00BF7702" w:rsidP="004C4F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FF9"/>
    <w:rsid w:val="00016D9E"/>
    <w:rsid w:val="000D7E41"/>
    <w:rsid w:val="00105214"/>
    <w:rsid w:val="00107F3F"/>
    <w:rsid w:val="001351EC"/>
    <w:rsid w:val="00144E71"/>
    <w:rsid w:val="00153C62"/>
    <w:rsid w:val="00167E9E"/>
    <w:rsid w:val="001C13F1"/>
    <w:rsid w:val="001F0E39"/>
    <w:rsid w:val="002619B5"/>
    <w:rsid w:val="002957E5"/>
    <w:rsid w:val="002A5A4E"/>
    <w:rsid w:val="00337D25"/>
    <w:rsid w:val="003834DF"/>
    <w:rsid w:val="00395731"/>
    <w:rsid w:val="00397516"/>
    <w:rsid w:val="003A594D"/>
    <w:rsid w:val="003E3D12"/>
    <w:rsid w:val="00474263"/>
    <w:rsid w:val="004A7A52"/>
    <w:rsid w:val="004C4FFE"/>
    <w:rsid w:val="00535439"/>
    <w:rsid w:val="005551A7"/>
    <w:rsid w:val="005E029F"/>
    <w:rsid w:val="006D0E78"/>
    <w:rsid w:val="00731FBA"/>
    <w:rsid w:val="007E00A9"/>
    <w:rsid w:val="0090377A"/>
    <w:rsid w:val="00905F3C"/>
    <w:rsid w:val="00914250"/>
    <w:rsid w:val="00926635"/>
    <w:rsid w:val="00935A9C"/>
    <w:rsid w:val="00984E69"/>
    <w:rsid w:val="009A7AB3"/>
    <w:rsid w:val="00A427C3"/>
    <w:rsid w:val="00A53EE6"/>
    <w:rsid w:val="00A8732B"/>
    <w:rsid w:val="00AB2FF9"/>
    <w:rsid w:val="00AD3EBA"/>
    <w:rsid w:val="00AD7D9F"/>
    <w:rsid w:val="00AE66DB"/>
    <w:rsid w:val="00B30665"/>
    <w:rsid w:val="00BF25FF"/>
    <w:rsid w:val="00BF7702"/>
    <w:rsid w:val="00C6048B"/>
    <w:rsid w:val="00C6416D"/>
    <w:rsid w:val="00C95455"/>
    <w:rsid w:val="00C9782C"/>
    <w:rsid w:val="00CC02AB"/>
    <w:rsid w:val="00D82290"/>
    <w:rsid w:val="00D85CE0"/>
    <w:rsid w:val="00E401E4"/>
    <w:rsid w:val="00E500DE"/>
    <w:rsid w:val="00E60134"/>
    <w:rsid w:val="00F45A65"/>
    <w:rsid w:val="00F46B07"/>
    <w:rsid w:val="00F519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D1C238-F180-4BBF-A640-17175E46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0"/>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D9E"/>
    <w:pPr>
      <w:spacing w:after="0" w:line="240" w:lineRule="auto"/>
      <w:jc w:val="both"/>
    </w:pPr>
    <w:rPr>
      <w:rFonts w:ascii="Times New Roman" w:hAnsi="Times New Roman"/>
      <w:sz w:val="26"/>
    </w:rPr>
  </w:style>
  <w:style w:type="paragraph" w:styleId="1">
    <w:name w:val="heading 1"/>
    <w:aliases w:val="Пункт общий"/>
    <w:basedOn w:val="a"/>
    <w:next w:val="a"/>
    <w:link w:val="10"/>
    <w:qFormat/>
    <w:rsid w:val="00905F3C"/>
    <w:pPr>
      <w:keepNext/>
      <w:spacing w:before="240" w:after="60"/>
      <w:jc w:val="left"/>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4C4FFE"/>
    <w:pPr>
      <w:keepNext/>
      <w:keepLines/>
      <w:spacing w:before="40"/>
      <w:outlineLvl w:val="1"/>
    </w:pPr>
    <w:rPr>
      <w:rFonts w:asciiTheme="majorHAnsi" w:eastAsiaTheme="majorEastAsia" w:hAnsiTheme="majorHAnsi" w:cstheme="majorBidi"/>
      <w:color w:val="2E74B5" w:themeColor="accent1" w:themeShade="BF"/>
      <w:szCs w:val="26"/>
    </w:rPr>
  </w:style>
  <w:style w:type="paragraph" w:styleId="3">
    <w:name w:val="heading 3"/>
    <w:basedOn w:val="a"/>
    <w:next w:val="a"/>
    <w:link w:val="30"/>
    <w:semiHidden/>
    <w:unhideWhenUsed/>
    <w:qFormat/>
    <w:rsid w:val="004C4FFE"/>
    <w:pPr>
      <w:keepNext/>
      <w:keepLines/>
      <w:spacing w:line="360" w:lineRule="auto"/>
      <w:ind w:firstLine="709"/>
      <w:outlineLvl w:val="2"/>
    </w:pPr>
    <w:rPr>
      <w:rFonts w:eastAsia="Times New Roman" w:cs="Times New Roman"/>
      <w:b/>
      <w:bCs/>
      <w:sz w:val="24"/>
      <w:szCs w:val="20"/>
      <w:lang w:eastAsia="ru-RU"/>
    </w:rPr>
  </w:style>
  <w:style w:type="paragraph" w:styleId="4">
    <w:name w:val="heading 4"/>
    <w:basedOn w:val="a"/>
    <w:next w:val="a"/>
    <w:link w:val="40"/>
    <w:semiHidden/>
    <w:unhideWhenUsed/>
    <w:qFormat/>
    <w:rsid w:val="004C4FFE"/>
    <w:pPr>
      <w:keepNext/>
      <w:keepLines/>
      <w:spacing w:line="360" w:lineRule="auto"/>
      <w:ind w:firstLine="709"/>
      <w:outlineLvl w:val="3"/>
    </w:pPr>
    <w:rPr>
      <w:rFonts w:eastAsia="Times New Roman" w:cs="Times New Roman"/>
      <w:b/>
      <w:bCs/>
      <w:iCs/>
      <w:sz w:val="24"/>
      <w:szCs w:val="20"/>
      <w:lang w:eastAsia="ru-RU"/>
    </w:rPr>
  </w:style>
  <w:style w:type="paragraph" w:styleId="6">
    <w:name w:val="heading 6"/>
    <w:basedOn w:val="a"/>
    <w:next w:val="a"/>
    <w:link w:val="60"/>
    <w:qFormat/>
    <w:rsid w:val="00905F3C"/>
    <w:pPr>
      <w:spacing w:before="240" w:after="60"/>
      <w:jc w:val="left"/>
      <w:outlineLvl w:val="5"/>
    </w:pPr>
    <w:rPr>
      <w:rFonts w:eastAsia="Times New Roman" w:cs="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5CE0"/>
    <w:rPr>
      <w:rFonts w:ascii="Segoe UI" w:hAnsi="Segoe UI" w:cs="Segoe UI"/>
      <w:sz w:val="18"/>
      <w:szCs w:val="18"/>
    </w:rPr>
  </w:style>
  <w:style w:type="character" w:customStyle="1" w:styleId="a4">
    <w:name w:val="Текст выноски Знак"/>
    <w:basedOn w:val="a0"/>
    <w:link w:val="a3"/>
    <w:uiPriority w:val="99"/>
    <w:semiHidden/>
    <w:rsid w:val="00D85CE0"/>
    <w:rPr>
      <w:rFonts w:ascii="Segoe UI" w:hAnsi="Segoe UI" w:cs="Segoe UI"/>
      <w:sz w:val="18"/>
      <w:szCs w:val="18"/>
    </w:rPr>
  </w:style>
  <w:style w:type="character" w:styleId="a5">
    <w:name w:val="Hyperlink"/>
    <w:basedOn w:val="a0"/>
    <w:uiPriority w:val="99"/>
    <w:semiHidden/>
    <w:unhideWhenUsed/>
    <w:rsid w:val="00C95455"/>
    <w:rPr>
      <w:color w:val="0000FF"/>
      <w:u w:val="single"/>
    </w:rPr>
  </w:style>
  <w:style w:type="character" w:customStyle="1" w:styleId="10">
    <w:name w:val="Заголовок 1 Знак"/>
    <w:aliases w:val="Пункт общий Знак"/>
    <w:basedOn w:val="a0"/>
    <w:link w:val="1"/>
    <w:rsid w:val="00905F3C"/>
    <w:rPr>
      <w:rFonts w:ascii="Arial" w:eastAsia="Times New Roman" w:hAnsi="Arial" w:cs="Arial"/>
      <w:b/>
      <w:bCs/>
      <w:kern w:val="32"/>
      <w:sz w:val="32"/>
      <w:szCs w:val="32"/>
      <w:lang w:eastAsia="ru-RU"/>
    </w:rPr>
  </w:style>
  <w:style w:type="character" w:customStyle="1" w:styleId="60">
    <w:name w:val="Заголовок 6 Знак"/>
    <w:basedOn w:val="a0"/>
    <w:link w:val="6"/>
    <w:rsid w:val="00905F3C"/>
    <w:rPr>
      <w:rFonts w:ascii="Times New Roman" w:eastAsia="Times New Roman" w:hAnsi="Times New Roman" w:cs="Times New Roman"/>
      <w:b/>
      <w:bCs/>
      <w:lang w:eastAsia="ru-RU"/>
    </w:rPr>
  </w:style>
  <w:style w:type="paragraph" w:styleId="a6">
    <w:name w:val="List Paragraph"/>
    <w:basedOn w:val="a"/>
    <w:link w:val="a7"/>
    <w:uiPriority w:val="34"/>
    <w:qFormat/>
    <w:rsid w:val="00905F3C"/>
    <w:pPr>
      <w:ind w:left="720"/>
      <w:contextualSpacing/>
    </w:pPr>
    <w:rPr>
      <w:rFonts w:eastAsia="Times New Roman" w:cs="Times New Roman"/>
      <w:lang w:eastAsia="ru-RU"/>
    </w:rPr>
  </w:style>
  <w:style w:type="character" w:styleId="a8">
    <w:name w:val="Strong"/>
    <w:aliases w:val="Раздел"/>
    <w:basedOn w:val="a0"/>
    <w:uiPriority w:val="22"/>
    <w:qFormat/>
    <w:rsid w:val="005E029F"/>
    <w:rPr>
      <w:b/>
      <w:bCs/>
    </w:rPr>
  </w:style>
  <w:style w:type="character" w:customStyle="1" w:styleId="20">
    <w:name w:val="Заголовок 2 Знак"/>
    <w:basedOn w:val="a0"/>
    <w:link w:val="2"/>
    <w:semiHidden/>
    <w:rsid w:val="004C4FFE"/>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semiHidden/>
    <w:rsid w:val="004C4FFE"/>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semiHidden/>
    <w:rsid w:val="004C4FFE"/>
    <w:rPr>
      <w:rFonts w:ascii="Times New Roman" w:eastAsia="Times New Roman" w:hAnsi="Times New Roman" w:cs="Times New Roman"/>
      <w:b/>
      <w:bCs/>
      <w:iCs/>
      <w:sz w:val="24"/>
      <w:szCs w:val="20"/>
      <w:lang w:eastAsia="ru-RU"/>
    </w:rPr>
  </w:style>
  <w:style w:type="character" w:styleId="a9">
    <w:name w:val="FollowedHyperlink"/>
    <w:basedOn w:val="a0"/>
    <w:uiPriority w:val="99"/>
    <w:semiHidden/>
    <w:unhideWhenUsed/>
    <w:rsid w:val="004C4FFE"/>
    <w:rPr>
      <w:color w:val="954F72" w:themeColor="followedHyperlink"/>
      <w:u w:val="single"/>
    </w:rPr>
  </w:style>
  <w:style w:type="character" w:styleId="aa">
    <w:name w:val="Emphasis"/>
    <w:qFormat/>
    <w:rsid w:val="004C4FFE"/>
    <w:rPr>
      <w:rFonts w:ascii="Times New Roman" w:hAnsi="Times New Roman" w:cs="Times New Roman" w:hint="default"/>
      <w:i/>
      <w:iCs w:val="0"/>
    </w:rPr>
  </w:style>
  <w:style w:type="character" w:customStyle="1" w:styleId="11">
    <w:name w:val="Заголовок 1 Знак1"/>
    <w:aliases w:val="Пункт общий Знак1"/>
    <w:basedOn w:val="a0"/>
    <w:rsid w:val="004C4FFE"/>
    <w:rPr>
      <w:rFonts w:asciiTheme="majorHAnsi" w:eastAsiaTheme="majorEastAsia" w:hAnsiTheme="majorHAnsi" w:cstheme="majorBidi"/>
      <w:color w:val="2E74B5" w:themeColor="accent1" w:themeShade="BF"/>
      <w:sz w:val="32"/>
      <w:szCs w:val="32"/>
    </w:rPr>
  </w:style>
  <w:style w:type="paragraph" w:styleId="ab">
    <w:name w:val="Normal (Web)"/>
    <w:basedOn w:val="a"/>
    <w:uiPriority w:val="99"/>
    <w:semiHidden/>
    <w:unhideWhenUsed/>
    <w:rsid w:val="004C4FFE"/>
    <w:pPr>
      <w:spacing w:before="100" w:beforeAutospacing="1" w:after="100" w:afterAutospacing="1" w:line="360" w:lineRule="auto"/>
      <w:ind w:firstLine="709"/>
    </w:pPr>
    <w:rPr>
      <w:rFonts w:eastAsia="Times New Roman" w:cs="Times New Roman"/>
      <w:sz w:val="24"/>
      <w:szCs w:val="24"/>
      <w:lang w:eastAsia="ru-RU"/>
    </w:rPr>
  </w:style>
  <w:style w:type="paragraph" w:styleId="12">
    <w:name w:val="toc 1"/>
    <w:basedOn w:val="a"/>
    <w:next w:val="a"/>
    <w:autoRedefine/>
    <w:uiPriority w:val="39"/>
    <w:semiHidden/>
    <w:unhideWhenUsed/>
    <w:rsid w:val="004C4FFE"/>
    <w:pPr>
      <w:spacing w:after="100" w:line="360" w:lineRule="auto"/>
      <w:ind w:firstLine="709"/>
    </w:pPr>
    <w:rPr>
      <w:rFonts w:eastAsia="Times New Roman" w:cs="Times New Roman"/>
      <w:sz w:val="20"/>
      <w:szCs w:val="20"/>
      <w:lang w:eastAsia="ru-RU"/>
    </w:rPr>
  </w:style>
  <w:style w:type="paragraph" w:styleId="21">
    <w:name w:val="toc 2"/>
    <w:basedOn w:val="a"/>
    <w:next w:val="a"/>
    <w:autoRedefine/>
    <w:uiPriority w:val="39"/>
    <w:semiHidden/>
    <w:unhideWhenUsed/>
    <w:rsid w:val="004C4FFE"/>
    <w:pPr>
      <w:spacing w:after="100" w:line="360" w:lineRule="auto"/>
      <w:ind w:left="200" w:firstLine="709"/>
    </w:pPr>
    <w:rPr>
      <w:rFonts w:eastAsia="Times New Roman" w:cs="Times New Roman"/>
      <w:sz w:val="20"/>
      <w:szCs w:val="20"/>
      <w:lang w:eastAsia="ru-RU"/>
    </w:rPr>
  </w:style>
  <w:style w:type="paragraph" w:styleId="31">
    <w:name w:val="toc 3"/>
    <w:basedOn w:val="a"/>
    <w:next w:val="a"/>
    <w:autoRedefine/>
    <w:uiPriority w:val="39"/>
    <w:semiHidden/>
    <w:unhideWhenUsed/>
    <w:rsid w:val="004C4FFE"/>
    <w:pPr>
      <w:spacing w:after="100" w:line="360" w:lineRule="auto"/>
      <w:ind w:left="400" w:firstLine="709"/>
    </w:pPr>
    <w:rPr>
      <w:rFonts w:eastAsia="Times New Roman" w:cs="Times New Roman"/>
      <w:sz w:val="20"/>
      <w:szCs w:val="20"/>
      <w:lang w:eastAsia="ru-RU"/>
    </w:rPr>
  </w:style>
  <w:style w:type="paragraph" w:styleId="41">
    <w:name w:val="toc 4"/>
    <w:basedOn w:val="a"/>
    <w:next w:val="a"/>
    <w:autoRedefine/>
    <w:uiPriority w:val="39"/>
    <w:semiHidden/>
    <w:unhideWhenUsed/>
    <w:rsid w:val="004C4FFE"/>
    <w:pPr>
      <w:spacing w:after="100" w:line="276" w:lineRule="auto"/>
      <w:ind w:left="660" w:firstLine="709"/>
    </w:pPr>
    <w:rPr>
      <w:rFonts w:ascii="Calibri" w:eastAsia="Times New Roman" w:hAnsi="Calibri" w:cs="Times New Roman"/>
      <w:sz w:val="24"/>
      <w:lang w:eastAsia="ru-RU"/>
    </w:rPr>
  </w:style>
  <w:style w:type="paragraph" w:styleId="5">
    <w:name w:val="toc 5"/>
    <w:basedOn w:val="a"/>
    <w:next w:val="a"/>
    <w:autoRedefine/>
    <w:uiPriority w:val="39"/>
    <w:semiHidden/>
    <w:unhideWhenUsed/>
    <w:rsid w:val="004C4FFE"/>
    <w:pPr>
      <w:spacing w:after="100" w:line="276" w:lineRule="auto"/>
      <w:ind w:left="880" w:firstLine="709"/>
    </w:pPr>
    <w:rPr>
      <w:rFonts w:ascii="Calibri" w:eastAsia="Times New Roman" w:hAnsi="Calibri" w:cs="Times New Roman"/>
      <w:sz w:val="24"/>
      <w:lang w:eastAsia="ru-RU"/>
    </w:rPr>
  </w:style>
  <w:style w:type="paragraph" w:styleId="61">
    <w:name w:val="toc 6"/>
    <w:basedOn w:val="a"/>
    <w:next w:val="a"/>
    <w:autoRedefine/>
    <w:uiPriority w:val="39"/>
    <w:semiHidden/>
    <w:unhideWhenUsed/>
    <w:rsid w:val="004C4FFE"/>
    <w:pPr>
      <w:spacing w:after="100" w:line="276" w:lineRule="auto"/>
      <w:ind w:left="1100" w:firstLine="709"/>
    </w:pPr>
    <w:rPr>
      <w:rFonts w:ascii="Calibri" w:eastAsia="Times New Roman" w:hAnsi="Calibri" w:cs="Times New Roman"/>
      <w:sz w:val="24"/>
      <w:lang w:eastAsia="ru-RU"/>
    </w:rPr>
  </w:style>
  <w:style w:type="paragraph" w:styleId="7">
    <w:name w:val="toc 7"/>
    <w:basedOn w:val="a"/>
    <w:next w:val="a"/>
    <w:autoRedefine/>
    <w:uiPriority w:val="39"/>
    <w:semiHidden/>
    <w:unhideWhenUsed/>
    <w:rsid w:val="004C4FFE"/>
    <w:pPr>
      <w:spacing w:after="100" w:line="276" w:lineRule="auto"/>
      <w:ind w:left="1320" w:firstLine="709"/>
    </w:pPr>
    <w:rPr>
      <w:rFonts w:ascii="Calibri" w:eastAsia="Times New Roman" w:hAnsi="Calibri" w:cs="Times New Roman"/>
      <w:sz w:val="24"/>
      <w:lang w:eastAsia="ru-RU"/>
    </w:rPr>
  </w:style>
  <w:style w:type="paragraph" w:styleId="8">
    <w:name w:val="toc 8"/>
    <w:basedOn w:val="a"/>
    <w:next w:val="a"/>
    <w:autoRedefine/>
    <w:uiPriority w:val="39"/>
    <w:semiHidden/>
    <w:unhideWhenUsed/>
    <w:rsid w:val="004C4FFE"/>
    <w:pPr>
      <w:spacing w:after="100" w:line="276" w:lineRule="auto"/>
      <w:ind w:left="1540" w:firstLine="709"/>
    </w:pPr>
    <w:rPr>
      <w:rFonts w:ascii="Calibri" w:eastAsia="Times New Roman" w:hAnsi="Calibri" w:cs="Times New Roman"/>
      <w:sz w:val="24"/>
      <w:lang w:eastAsia="ru-RU"/>
    </w:rPr>
  </w:style>
  <w:style w:type="paragraph" w:styleId="9">
    <w:name w:val="toc 9"/>
    <w:basedOn w:val="a"/>
    <w:next w:val="a"/>
    <w:autoRedefine/>
    <w:uiPriority w:val="39"/>
    <w:semiHidden/>
    <w:unhideWhenUsed/>
    <w:rsid w:val="004C4FFE"/>
    <w:pPr>
      <w:spacing w:after="100" w:line="276" w:lineRule="auto"/>
      <w:ind w:left="1760" w:firstLine="709"/>
    </w:pPr>
    <w:rPr>
      <w:rFonts w:ascii="Calibri" w:eastAsia="Times New Roman" w:hAnsi="Calibri" w:cs="Times New Roman"/>
      <w:sz w:val="24"/>
      <w:lang w:eastAsia="ru-RU"/>
    </w:rPr>
  </w:style>
  <w:style w:type="paragraph" w:styleId="ac">
    <w:name w:val="footnote text"/>
    <w:basedOn w:val="a"/>
    <w:link w:val="ad"/>
    <w:uiPriority w:val="99"/>
    <w:semiHidden/>
    <w:unhideWhenUsed/>
    <w:rsid w:val="004C4FFE"/>
    <w:pPr>
      <w:spacing w:line="360" w:lineRule="auto"/>
      <w:ind w:firstLine="709"/>
    </w:pPr>
    <w:rPr>
      <w:sz w:val="20"/>
      <w:szCs w:val="20"/>
    </w:rPr>
  </w:style>
  <w:style w:type="character" w:customStyle="1" w:styleId="ad">
    <w:name w:val="Текст сноски Знак"/>
    <w:basedOn w:val="a0"/>
    <w:link w:val="ac"/>
    <w:uiPriority w:val="99"/>
    <w:semiHidden/>
    <w:rsid w:val="004C4FFE"/>
    <w:rPr>
      <w:rFonts w:ascii="Times New Roman" w:hAnsi="Times New Roman"/>
      <w:sz w:val="20"/>
      <w:szCs w:val="20"/>
    </w:rPr>
  </w:style>
  <w:style w:type="paragraph" w:styleId="ae">
    <w:name w:val="annotation text"/>
    <w:basedOn w:val="a"/>
    <w:link w:val="af"/>
    <w:uiPriority w:val="99"/>
    <w:semiHidden/>
    <w:unhideWhenUsed/>
    <w:rsid w:val="004C4FFE"/>
    <w:pPr>
      <w:spacing w:line="360" w:lineRule="auto"/>
      <w:ind w:firstLine="709"/>
    </w:pPr>
    <w:rPr>
      <w:rFonts w:eastAsia="Times New Roman" w:cs="Times New Roman"/>
      <w:sz w:val="20"/>
      <w:szCs w:val="20"/>
      <w:lang w:eastAsia="ru-RU"/>
    </w:rPr>
  </w:style>
  <w:style w:type="character" w:customStyle="1" w:styleId="af">
    <w:name w:val="Текст примечания Знак"/>
    <w:basedOn w:val="a0"/>
    <w:link w:val="ae"/>
    <w:uiPriority w:val="99"/>
    <w:semiHidden/>
    <w:rsid w:val="004C4FFE"/>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4C4FFE"/>
    <w:pPr>
      <w:tabs>
        <w:tab w:val="center" w:pos="4677"/>
        <w:tab w:val="right" w:pos="9355"/>
      </w:tabs>
      <w:spacing w:line="360" w:lineRule="auto"/>
      <w:ind w:firstLine="709"/>
    </w:pPr>
    <w:rPr>
      <w:rFonts w:eastAsia="Times New Roman" w:cs="Times New Roman"/>
      <w:sz w:val="20"/>
      <w:szCs w:val="20"/>
      <w:lang w:eastAsia="ru-RU"/>
    </w:rPr>
  </w:style>
  <w:style w:type="character" w:customStyle="1" w:styleId="af1">
    <w:name w:val="Верхний колонтитул Знак"/>
    <w:basedOn w:val="a0"/>
    <w:link w:val="af0"/>
    <w:uiPriority w:val="99"/>
    <w:rsid w:val="004C4FFE"/>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4C4FFE"/>
    <w:pPr>
      <w:tabs>
        <w:tab w:val="center" w:pos="4677"/>
        <w:tab w:val="right" w:pos="9355"/>
      </w:tabs>
      <w:spacing w:line="360" w:lineRule="auto"/>
      <w:ind w:firstLine="709"/>
    </w:pPr>
    <w:rPr>
      <w:rFonts w:eastAsia="Times New Roman" w:cs="Times New Roman"/>
      <w:sz w:val="20"/>
      <w:szCs w:val="20"/>
      <w:lang w:eastAsia="ru-RU"/>
    </w:rPr>
  </w:style>
  <w:style w:type="character" w:customStyle="1" w:styleId="af3">
    <w:name w:val="Нижний колонтитул Знак"/>
    <w:basedOn w:val="a0"/>
    <w:link w:val="af2"/>
    <w:uiPriority w:val="99"/>
    <w:rsid w:val="004C4FFE"/>
    <w:rPr>
      <w:rFonts w:ascii="Times New Roman" w:eastAsia="Times New Roman" w:hAnsi="Times New Roman" w:cs="Times New Roman"/>
      <w:sz w:val="20"/>
      <w:szCs w:val="20"/>
      <w:lang w:eastAsia="ru-RU"/>
    </w:rPr>
  </w:style>
  <w:style w:type="paragraph" w:styleId="af4">
    <w:name w:val="endnote text"/>
    <w:basedOn w:val="a"/>
    <w:link w:val="af5"/>
    <w:uiPriority w:val="99"/>
    <w:semiHidden/>
    <w:unhideWhenUsed/>
    <w:rsid w:val="004C4FFE"/>
    <w:pPr>
      <w:spacing w:line="360" w:lineRule="auto"/>
      <w:ind w:firstLine="709"/>
    </w:pPr>
    <w:rPr>
      <w:rFonts w:eastAsia="Times New Roman" w:cs="Times New Roman"/>
      <w:sz w:val="20"/>
      <w:szCs w:val="20"/>
      <w:lang w:eastAsia="ru-RU"/>
    </w:rPr>
  </w:style>
  <w:style w:type="character" w:customStyle="1" w:styleId="af5">
    <w:name w:val="Текст концевой сноски Знак"/>
    <w:basedOn w:val="a0"/>
    <w:link w:val="af4"/>
    <w:uiPriority w:val="99"/>
    <w:semiHidden/>
    <w:rsid w:val="004C4FFE"/>
    <w:rPr>
      <w:rFonts w:ascii="Times New Roman" w:eastAsia="Times New Roman" w:hAnsi="Times New Roman" w:cs="Times New Roman"/>
      <w:sz w:val="20"/>
      <w:szCs w:val="20"/>
      <w:lang w:eastAsia="ru-RU"/>
    </w:rPr>
  </w:style>
  <w:style w:type="paragraph" w:styleId="af6">
    <w:name w:val="Body Text"/>
    <w:basedOn w:val="a"/>
    <w:link w:val="af7"/>
    <w:uiPriority w:val="99"/>
    <w:semiHidden/>
    <w:unhideWhenUsed/>
    <w:rsid w:val="004C4FFE"/>
    <w:pPr>
      <w:spacing w:after="120" w:line="360" w:lineRule="auto"/>
      <w:ind w:firstLine="709"/>
    </w:pPr>
    <w:rPr>
      <w:rFonts w:eastAsia="Times New Roman" w:cs="Times New Roman"/>
      <w:sz w:val="20"/>
      <w:szCs w:val="20"/>
      <w:lang w:eastAsia="ru-RU"/>
    </w:rPr>
  </w:style>
  <w:style w:type="character" w:customStyle="1" w:styleId="af7">
    <w:name w:val="Основной текст Знак"/>
    <w:basedOn w:val="a0"/>
    <w:link w:val="af6"/>
    <w:uiPriority w:val="99"/>
    <w:semiHidden/>
    <w:rsid w:val="004C4FFE"/>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rsid w:val="004C4FFE"/>
    <w:pPr>
      <w:spacing w:line="360" w:lineRule="auto"/>
      <w:ind w:firstLine="709"/>
    </w:pPr>
    <w:rPr>
      <w:rFonts w:eastAsia="Times New Roman" w:cs="Times New Roman"/>
      <w:szCs w:val="20"/>
      <w:lang w:eastAsia="ru-RU"/>
    </w:rPr>
  </w:style>
  <w:style w:type="character" w:customStyle="1" w:styleId="af9">
    <w:name w:val="Основной текст с отступом Знак"/>
    <w:basedOn w:val="a0"/>
    <w:link w:val="af8"/>
    <w:uiPriority w:val="99"/>
    <w:semiHidden/>
    <w:rsid w:val="004C4FFE"/>
    <w:rPr>
      <w:rFonts w:ascii="Times New Roman" w:eastAsia="Times New Roman" w:hAnsi="Times New Roman" w:cs="Times New Roman"/>
      <w:sz w:val="26"/>
      <w:szCs w:val="20"/>
      <w:lang w:eastAsia="ru-RU"/>
    </w:rPr>
  </w:style>
  <w:style w:type="paragraph" w:styleId="afa">
    <w:name w:val="Subtitle"/>
    <w:basedOn w:val="a"/>
    <w:next w:val="a"/>
    <w:link w:val="afb"/>
    <w:uiPriority w:val="11"/>
    <w:qFormat/>
    <w:rsid w:val="004C4FFE"/>
    <w:pPr>
      <w:spacing w:line="360" w:lineRule="auto"/>
      <w:ind w:firstLine="709"/>
    </w:pPr>
    <w:rPr>
      <w:rFonts w:asciiTheme="majorHAnsi" w:eastAsiaTheme="majorEastAsia" w:hAnsiTheme="majorHAnsi" w:cstheme="majorBidi"/>
      <w:i/>
      <w:iCs/>
      <w:color w:val="5B9BD5" w:themeColor="accent1"/>
      <w:spacing w:val="15"/>
      <w:sz w:val="24"/>
      <w:szCs w:val="24"/>
    </w:rPr>
  </w:style>
  <w:style w:type="character" w:customStyle="1" w:styleId="afb">
    <w:name w:val="Подзаголовок Знак"/>
    <w:basedOn w:val="a0"/>
    <w:link w:val="afa"/>
    <w:uiPriority w:val="11"/>
    <w:rsid w:val="004C4FFE"/>
    <w:rPr>
      <w:rFonts w:asciiTheme="majorHAnsi" w:eastAsiaTheme="majorEastAsia" w:hAnsiTheme="majorHAnsi" w:cstheme="majorBidi"/>
      <w:i/>
      <w:iCs/>
      <w:color w:val="5B9BD5" w:themeColor="accent1"/>
      <w:spacing w:val="15"/>
      <w:sz w:val="24"/>
      <w:szCs w:val="24"/>
    </w:rPr>
  </w:style>
  <w:style w:type="paragraph" w:styleId="22">
    <w:name w:val="Body Text 2"/>
    <w:basedOn w:val="a"/>
    <w:link w:val="23"/>
    <w:uiPriority w:val="99"/>
    <w:semiHidden/>
    <w:unhideWhenUsed/>
    <w:rsid w:val="004C4FFE"/>
    <w:pPr>
      <w:spacing w:after="120" w:line="480" w:lineRule="auto"/>
      <w:jc w:val="left"/>
    </w:pPr>
    <w:rPr>
      <w:rFonts w:asciiTheme="minorHAnsi" w:hAnsiTheme="minorHAnsi"/>
      <w:sz w:val="22"/>
    </w:rPr>
  </w:style>
  <w:style w:type="character" w:customStyle="1" w:styleId="23">
    <w:name w:val="Основной текст 2 Знак"/>
    <w:basedOn w:val="a0"/>
    <w:link w:val="22"/>
    <w:uiPriority w:val="99"/>
    <w:semiHidden/>
    <w:rsid w:val="004C4FFE"/>
  </w:style>
  <w:style w:type="paragraph" w:styleId="24">
    <w:name w:val="Body Text Indent 2"/>
    <w:basedOn w:val="a"/>
    <w:link w:val="25"/>
    <w:uiPriority w:val="99"/>
    <w:semiHidden/>
    <w:unhideWhenUsed/>
    <w:rsid w:val="004C4FFE"/>
    <w:pPr>
      <w:spacing w:after="120" w:line="480" w:lineRule="auto"/>
      <w:ind w:left="283" w:firstLine="709"/>
    </w:pPr>
    <w:rPr>
      <w:sz w:val="24"/>
    </w:rPr>
  </w:style>
  <w:style w:type="character" w:customStyle="1" w:styleId="25">
    <w:name w:val="Основной текст с отступом 2 Знак"/>
    <w:basedOn w:val="a0"/>
    <w:link w:val="24"/>
    <w:uiPriority w:val="99"/>
    <w:semiHidden/>
    <w:rsid w:val="004C4FFE"/>
    <w:rPr>
      <w:rFonts w:ascii="Times New Roman" w:hAnsi="Times New Roman"/>
      <w:sz w:val="24"/>
    </w:rPr>
  </w:style>
  <w:style w:type="paragraph" w:styleId="afc">
    <w:name w:val="Plain Text"/>
    <w:basedOn w:val="a"/>
    <w:link w:val="afd"/>
    <w:uiPriority w:val="99"/>
    <w:semiHidden/>
    <w:unhideWhenUsed/>
    <w:rsid w:val="004C4FFE"/>
    <w:pPr>
      <w:spacing w:line="360" w:lineRule="auto"/>
      <w:ind w:firstLine="709"/>
    </w:pPr>
    <w:rPr>
      <w:rFonts w:ascii="Courier New" w:eastAsia="Times New Roman" w:hAnsi="Courier New" w:cs="Times New Roman"/>
      <w:sz w:val="20"/>
      <w:szCs w:val="20"/>
      <w:lang w:eastAsia="ru-RU"/>
    </w:rPr>
  </w:style>
  <w:style w:type="character" w:customStyle="1" w:styleId="afd">
    <w:name w:val="Текст Знак"/>
    <w:basedOn w:val="a0"/>
    <w:link w:val="afc"/>
    <w:uiPriority w:val="99"/>
    <w:semiHidden/>
    <w:rsid w:val="004C4FFE"/>
    <w:rPr>
      <w:rFonts w:ascii="Courier New" w:eastAsia="Times New Roman" w:hAnsi="Courier New" w:cs="Times New Roman"/>
      <w:sz w:val="20"/>
      <w:szCs w:val="20"/>
      <w:lang w:eastAsia="ru-RU"/>
    </w:rPr>
  </w:style>
  <w:style w:type="paragraph" w:styleId="afe">
    <w:name w:val="annotation subject"/>
    <w:basedOn w:val="ae"/>
    <w:next w:val="ae"/>
    <w:link w:val="aff"/>
    <w:uiPriority w:val="99"/>
    <w:semiHidden/>
    <w:unhideWhenUsed/>
    <w:rsid w:val="004C4FFE"/>
    <w:rPr>
      <w:b/>
      <w:bCs/>
    </w:rPr>
  </w:style>
  <w:style w:type="character" w:customStyle="1" w:styleId="aff">
    <w:name w:val="Тема примечания Знак"/>
    <w:basedOn w:val="af"/>
    <w:link w:val="afe"/>
    <w:uiPriority w:val="99"/>
    <w:semiHidden/>
    <w:rsid w:val="004C4FFE"/>
    <w:rPr>
      <w:rFonts w:ascii="Times New Roman" w:eastAsia="Times New Roman" w:hAnsi="Times New Roman" w:cs="Times New Roman"/>
      <w:b/>
      <w:bCs/>
      <w:sz w:val="20"/>
      <w:szCs w:val="20"/>
      <w:lang w:eastAsia="ru-RU"/>
    </w:rPr>
  </w:style>
  <w:style w:type="character" w:customStyle="1" w:styleId="aff0">
    <w:name w:val="Без интервала Знак"/>
    <w:link w:val="aff1"/>
    <w:locked/>
    <w:rsid w:val="004C4FFE"/>
    <w:rPr>
      <w:rFonts w:ascii="Times New Roman" w:eastAsia="Times New Roman" w:hAnsi="Times New Roman" w:cs="Times New Roman"/>
      <w:sz w:val="28"/>
      <w:szCs w:val="20"/>
      <w:lang w:eastAsia="ru-RU"/>
    </w:rPr>
  </w:style>
  <w:style w:type="paragraph" w:styleId="aff1">
    <w:name w:val="No Spacing"/>
    <w:link w:val="aff0"/>
    <w:qFormat/>
    <w:rsid w:val="004C4FF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7">
    <w:name w:val="Абзац списка Знак"/>
    <w:link w:val="a6"/>
    <w:uiPriority w:val="34"/>
    <w:locked/>
    <w:rsid w:val="004C4FFE"/>
    <w:rPr>
      <w:rFonts w:ascii="Times New Roman" w:eastAsia="Times New Roman" w:hAnsi="Times New Roman" w:cs="Times New Roman"/>
      <w:sz w:val="26"/>
      <w:lang w:eastAsia="ru-RU"/>
    </w:rPr>
  </w:style>
  <w:style w:type="paragraph" w:styleId="aff2">
    <w:name w:val="TOC Heading"/>
    <w:basedOn w:val="1"/>
    <w:next w:val="a"/>
    <w:uiPriority w:val="39"/>
    <w:semiHidden/>
    <w:unhideWhenUsed/>
    <w:qFormat/>
    <w:rsid w:val="004C4FFE"/>
    <w:pPr>
      <w:keepLines/>
      <w:spacing w:before="480" w:after="0" w:line="276" w:lineRule="auto"/>
      <w:ind w:firstLine="709"/>
      <w:jc w:val="center"/>
      <w:outlineLvl w:val="9"/>
    </w:pPr>
    <w:rPr>
      <w:rFonts w:ascii="Times New Roman" w:hAnsi="Times New Roman" w:cs="Times New Roman"/>
      <w:kern w:val="0"/>
      <w:sz w:val="28"/>
      <w:szCs w:val="28"/>
    </w:rPr>
  </w:style>
  <w:style w:type="character" w:customStyle="1" w:styleId="aff3">
    <w:name w:val="Подпункт Знак"/>
    <w:link w:val="aff4"/>
    <w:locked/>
    <w:rsid w:val="004C4FFE"/>
    <w:rPr>
      <w:rFonts w:ascii="Times New Roman" w:eastAsia="Times New Roman" w:hAnsi="Times New Roman" w:cs="Times New Roman"/>
      <w:b/>
      <w:sz w:val="28"/>
      <w:szCs w:val="36"/>
      <w:lang w:eastAsia="ru-RU"/>
    </w:rPr>
  </w:style>
  <w:style w:type="paragraph" w:customStyle="1" w:styleId="aff4">
    <w:name w:val="Подпункт"/>
    <w:basedOn w:val="a6"/>
    <w:link w:val="aff3"/>
    <w:qFormat/>
    <w:rsid w:val="004C4FFE"/>
    <w:pPr>
      <w:spacing w:line="360" w:lineRule="auto"/>
      <w:ind w:left="0" w:firstLine="709"/>
    </w:pPr>
    <w:rPr>
      <w:b/>
      <w:sz w:val="28"/>
      <w:szCs w:val="36"/>
    </w:rPr>
  </w:style>
  <w:style w:type="paragraph" w:customStyle="1" w:styleId="TableParagraph">
    <w:name w:val="Table Paragraph"/>
    <w:basedOn w:val="a"/>
    <w:uiPriority w:val="1"/>
    <w:qFormat/>
    <w:rsid w:val="004C4FFE"/>
    <w:pPr>
      <w:widowControl w:val="0"/>
      <w:spacing w:line="360" w:lineRule="auto"/>
      <w:ind w:firstLine="709"/>
    </w:pPr>
    <w:rPr>
      <w:rFonts w:ascii="Calibri" w:eastAsia="Calibri" w:hAnsi="Calibri" w:cs="Times New Roman"/>
      <w:sz w:val="24"/>
      <w:lang w:val="en-US"/>
    </w:rPr>
  </w:style>
  <w:style w:type="character" w:customStyle="1" w:styleId="aff5">
    <w:name w:val="Глава Знак"/>
    <w:link w:val="aff6"/>
    <w:locked/>
    <w:rsid w:val="004C4FFE"/>
    <w:rPr>
      <w:rFonts w:ascii="Times New Roman" w:eastAsia="Times New Roman" w:hAnsi="Times New Roman" w:cs="Times New Roman"/>
      <w:b/>
      <w:sz w:val="36"/>
      <w:szCs w:val="36"/>
      <w:lang w:eastAsia="ru-RU"/>
    </w:rPr>
  </w:style>
  <w:style w:type="paragraph" w:customStyle="1" w:styleId="aff6">
    <w:name w:val="Глава"/>
    <w:basedOn w:val="a"/>
    <w:link w:val="aff5"/>
    <w:qFormat/>
    <w:rsid w:val="004C4FFE"/>
    <w:pPr>
      <w:spacing w:line="360" w:lineRule="auto"/>
      <w:ind w:firstLine="709"/>
      <w:jc w:val="center"/>
    </w:pPr>
    <w:rPr>
      <w:rFonts w:eastAsia="Times New Roman" w:cs="Times New Roman"/>
      <w:b/>
      <w:sz w:val="36"/>
      <w:szCs w:val="36"/>
      <w:lang w:eastAsia="ru-RU"/>
    </w:rPr>
  </w:style>
  <w:style w:type="character" w:customStyle="1" w:styleId="aff7">
    <w:name w:val="Пункт Знак"/>
    <w:link w:val="aff8"/>
    <w:locked/>
    <w:rsid w:val="004C4FFE"/>
    <w:rPr>
      <w:rFonts w:ascii="Times New Roman" w:eastAsia="Times New Roman" w:hAnsi="Times New Roman" w:cs="Times New Roman"/>
      <w:b/>
      <w:sz w:val="32"/>
      <w:szCs w:val="32"/>
      <w:lang w:eastAsia="ru-RU"/>
    </w:rPr>
  </w:style>
  <w:style w:type="paragraph" w:customStyle="1" w:styleId="aff8">
    <w:name w:val="Пункт"/>
    <w:basedOn w:val="aff6"/>
    <w:link w:val="aff7"/>
    <w:qFormat/>
    <w:rsid w:val="004C4FFE"/>
    <w:rPr>
      <w:sz w:val="32"/>
      <w:szCs w:val="32"/>
    </w:rPr>
  </w:style>
  <w:style w:type="paragraph" w:customStyle="1" w:styleId="ConsPlusNonformat">
    <w:name w:val="ConsPlusNonformat"/>
    <w:uiPriority w:val="99"/>
    <w:rsid w:val="004C4F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
    <w:uiPriority w:val="99"/>
    <w:rsid w:val="004C4FFE"/>
    <w:pPr>
      <w:spacing w:after="200" w:line="276" w:lineRule="auto"/>
      <w:ind w:left="720" w:firstLine="709"/>
    </w:pPr>
    <w:rPr>
      <w:rFonts w:ascii="Calibri" w:eastAsia="Times New Roman" w:hAnsi="Calibri" w:cs="Times New Roman"/>
      <w:sz w:val="24"/>
    </w:rPr>
  </w:style>
  <w:style w:type="paragraph" w:customStyle="1" w:styleId="form3">
    <w:name w:val="form3"/>
    <w:basedOn w:val="a"/>
    <w:uiPriority w:val="99"/>
    <w:rsid w:val="004C4FFE"/>
    <w:pPr>
      <w:spacing w:before="100" w:beforeAutospacing="1" w:after="100" w:afterAutospacing="1" w:line="360" w:lineRule="auto"/>
      <w:ind w:firstLine="709"/>
    </w:pPr>
    <w:rPr>
      <w:rFonts w:eastAsia="Times New Roman" w:cs="Times New Roman"/>
      <w:sz w:val="24"/>
      <w:szCs w:val="24"/>
      <w:lang w:eastAsia="ru-RU"/>
    </w:rPr>
  </w:style>
  <w:style w:type="character" w:customStyle="1" w:styleId="aff9">
    <w:name w:val="Основной текст_"/>
    <w:link w:val="14"/>
    <w:locked/>
    <w:rsid w:val="004C4FFE"/>
    <w:rPr>
      <w:sz w:val="23"/>
      <w:szCs w:val="23"/>
      <w:shd w:val="clear" w:color="auto" w:fill="FFFFFF"/>
    </w:rPr>
  </w:style>
  <w:style w:type="paragraph" w:customStyle="1" w:styleId="14">
    <w:name w:val="Основной текст1"/>
    <w:basedOn w:val="a"/>
    <w:link w:val="aff9"/>
    <w:rsid w:val="004C4FFE"/>
    <w:pPr>
      <w:shd w:val="clear" w:color="auto" w:fill="FFFFFF"/>
      <w:spacing w:before="600" w:line="413" w:lineRule="exact"/>
      <w:ind w:firstLine="709"/>
    </w:pPr>
    <w:rPr>
      <w:rFonts w:asciiTheme="minorHAnsi" w:hAnsiTheme="minorHAnsi"/>
      <w:sz w:val="23"/>
      <w:szCs w:val="23"/>
    </w:rPr>
  </w:style>
  <w:style w:type="paragraph" w:customStyle="1" w:styleId="s1">
    <w:name w:val="s_1"/>
    <w:basedOn w:val="a"/>
    <w:uiPriority w:val="99"/>
    <w:rsid w:val="004C4FFE"/>
    <w:pPr>
      <w:spacing w:before="100" w:beforeAutospacing="1" w:after="100" w:afterAutospacing="1" w:line="360" w:lineRule="auto"/>
      <w:ind w:firstLine="709"/>
    </w:pPr>
    <w:rPr>
      <w:rFonts w:eastAsia="Times New Roman" w:cs="Times New Roman"/>
      <w:sz w:val="24"/>
      <w:szCs w:val="24"/>
      <w:lang w:eastAsia="ru-RU"/>
    </w:rPr>
  </w:style>
  <w:style w:type="paragraph" w:customStyle="1" w:styleId="ConsPlusNormal">
    <w:name w:val="ConsPlusNormal"/>
    <w:uiPriority w:val="99"/>
    <w:rsid w:val="004C4FF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4C4FF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news-date">
    <w:name w:val="news-date"/>
    <w:basedOn w:val="a"/>
    <w:uiPriority w:val="99"/>
    <w:rsid w:val="004C4FFE"/>
    <w:pPr>
      <w:spacing w:before="100" w:beforeAutospacing="1" w:after="100" w:afterAutospacing="1" w:line="360" w:lineRule="auto"/>
      <w:ind w:firstLine="709"/>
    </w:pPr>
    <w:rPr>
      <w:rFonts w:eastAsia="Times New Roman" w:cs="Times New Roman"/>
      <w:sz w:val="24"/>
      <w:szCs w:val="24"/>
      <w:lang w:eastAsia="ru-RU"/>
    </w:rPr>
  </w:style>
  <w:style w:type="character" w:customStyle="1" w:styleId="S">
    <w:name w:val="S_Обычный Знак"/>
    <w:link w:val="S0"/>
    <w:locked/>
    <w:rsid w:val="004C4FFE"/>
    <w:rPr>
      <w:rFonts w:ascii="Times New Roman" w:eastAsia="Times New Roman" w:hAnsi="Times New Roman" w:cs="Times New Roman"/>
      <w:sz w:val="24"/>
      <w:szCs w:val="24"/>
      <w:lang w:val="x-none" w:eastAsia="x-none"/>
    </w:rPr>
  </w:style>
  <w:style w:type="paragraph" w:customStyle="1" w:styleId="S0">
    <w:name w:val="S_Обычный"/>
    <w:basedOn w:val="a"/>
    <w:link w:val="S"/>
    <w:qFormat/>
    <w:rsid w:val="004C4FFE"/>
    <w:pPr>
      <w:ind w:firstLine="709"/>
    </w:pPr>
    <w:rPr>
      <w:rFonts w:eastAsia="Times New Roman" w:cs="Times New Roman"/>
      <w:sz w:val="24"/>
      <w:szCs w:val="24"/>
      <w:lang w:val="x-none" w:eastAsia="x-none"/>
    </w:rPr>
  </w:style>
  <w:style w:type="character" w:customStyle="1" w:styleId="affa">
    <w:name w:val="Абзац Знак"/>
    <w:link w:val="affb"/>
    <w:locked/>
    <w:rsid w:val="004C4FFE"/>
    <w:rPr>
      <w:rFonts w:ascii="Times New Roman" w:eastAsia="Times New Roman" w:hAnsi="Times New Roman" w:cs="Times New Roman"/>
      <w:sz w:val="20"/>
      <w:szCs w:val="20"/>
      <w:lang w:val="x-none" w:eastAsia="zh-CN"/>
    </w:rPr>
  </w:style>
  <w:style w:type="paragraph" w:customStyle="1" w:styleId="affb">
    <w:name w:val="Абзац"/>
    <w:basedOn w:val="a"/>
    <w:link w:val="affa"/>
    <w:rsid w:val="004C4FFE"/>
    <w:pPr>
      <w:spacing w:before="120" w:after="60"/>
      <w:ind w:firstLine="567"/>
    </w:pPr>
    <w:rPr>
      <w:rFonts w:eastAsia="Times New Roman" w:cs="Times New Roman"/>
      <w:sz w:val="20"/>
      <w:szCs w:val="20"/>
      <w:lang w:val="x-none" w:eastAsia="zh-CN"/>
    </w:rPr>
  </w:style>
  <w:style w:type="character" w:customStyle="1" w:styleId="15">
    <w:name w:val="Пункт 1 Знак"/>
    <w:basedOn w:val="20"/>
    <w:link w:val="16"/>
    <w:locked/>
    <w:rsid w:val="004C4FFE"/>
    <w:rPr>
      <w:rFonts w:ascii="Times New Roman" w:eastAsia="Times New Roman" w:hAnsi="Times New Roman" w:cs="Times New Roman"/>
      <w:color w:val="5B9BD5" w:themeColor="accent1"/>
      <w:sz w:val="32"/>
      <w:szCs w:val="26"/>
      <w:lang w:eastAsia="ru-RU"/>
    </w:rPr>
  </w:style>
  <w:style w:type="paragraph" w:customStyle="1" w:styleId="16">
    <w:name w:val="Пункт 1"/>
    <w:basedOn w:val="2"/>
    <w:link w:val="15"/>
    <w:qFormat/>
    <w:rsid w:val="004C4FFE"/>
    <w:pPr>
      <w:spacing w:before="200"/>
      <w:ind w:left="709"/>
      <w:jc w:val="left"/>
    </w:pPr>
    <w:rPr>
      <w:rFonts w:ascii="Times New Roman" w:eastAsia="Times New Roman" w:hAnsi="Times New Roman" w:cs="Times New Roman"/>
      <w:color w:val="5B9BD5" w:themeColor="accent1"/>
      <w:sz w:val="32"/>
      <w:lang w:eastAsia="ru-RU"/>
    </w:rPr>
  </w:style>
  <w:style w:type="character" w:customStyle="1" w:styleId="26">
    <w:name w:val="Подпункт 2 Знак"/>
    <w:basedOn w:val="40"/>
    <w:link w:val="27"/>
    <w:locked/>
    <w:rsid w:val="004C4FFE"/>
    <w:rPr>
      <w:rFonts w:ascii="Times New Roman" w:eastAsia="Calibri" w:hAnsi="Times New Roman" w:cs="Times New Roman"/>
      <w:b/>
      <w:bCs/>
      <w:i/>
      <w:iCs/>
      <w:sz w:val="32"/>
      <w:szCs w:val="24"/>
      <w:lang w:eastAsia="ru-RU"/>
    </w:rPr>
  </w:style>
  <w:style w:type="paragraph" w:customStyle="1" w:styleId="27">
    <w:name w:val="Подпункт 2"/>
    <w:basedOn w:val="4"/>
    <w:link w:val="26"/>
    <w:qFormat/>
    <w:rsid w:val="004C4FFE"/>
    <w:pPr>
      <w:spacing w:line="240" w:lineRule="auto"/>
      <w:ind w:left="709" w:firstLine="0"/>
      <w:jc w:val="left"/>
    </w:pPr>
    <w:rPr>
      <w:rFonts w:eastAsia="Calibri"/>
      <w:i/>
      <w:sz w:val="32"/>
      <w:szCs w:val="24"/>
    </w:rPr>
  </w:style>
  <w:style w:type="character" w:customStyle="1" w:styleId="17">
    <w:name w:val="Подпункт 1 Знак"/>
    <w:basedOn w:val="30"/>
    <w:link w:val="18"/>
    <w:locked/>
    <w:rsid w:val="004C4FFE"/>
    <w:rPr>
      <w:rFonts w:ascii="Times New Roman" w:eastAsia="Times New Roman" w:hAnsi="Times New Roman" w:cs="Times New Roman"/>
      <w:b/>
      <w:bCs/>
      <w:color w:val="5B9BD5" w:themeColor="accent1"/>
      <w:sz w:val="28"/>
      <w:szCs w:val="20"/>
      <w:lang w:eastAsia="ru-RU"/>
    </w:rPr>
  </w:style>
  <w:style w:type="paragraph" w:customStyle="1" w:styleId="18">
    <w:name w:val="Подпункт 1"/>
    <w:basedOn w:val="3"/>
    <w:link w:val="17"/>
    <w:qFormat/>
    <w:rsid w:val="004C4FFE"/>
    <w:pPr>
      <w:spacing w:before="200" w:line="240" w:lineRule="auto"/>
      <w:ind w:firstLine="0"/>
      <w:jc w:val="left"/>
    </w:pPr>
    <w:rPr>
      <w:color w:val="5B9BD5" w:themeColor="accent1"/>
      <w:sz w:val="28"/>
    </w:rPr>
  </w:style>
  <w:style w:type="paragraph" w:customStyle="1" w:styleId="lastchild">
    <w:name w:val="last_child"/>
    <w:basedOn w:val="a"/>
    <w:uiPriority w:val="99"/>
    <w:rsid w:val="004C4FFE"/>
    <w:pPr>
      <w:spacing w:before="192" w:after="192"/>
      <w:jc w:val="left"/>
    </w:pPr>
    <w:rPr>
      <w:rFonts w:eastAsia="Times New Roman" w:cs="Times New Roman"/>
      <w:sz w:val="24"/>
      <w:szCs w:val="24"/>
      <w:lang w:eastAsia="ru-RU"/>
    </w:rPr>
  </w:style>
  <w:style w:type="character" w:styleId="affc">
    <w:name w:val="footnote reference"/>
    <w:basedOn w:val="a0"/>
    <w:uiPriority w:val="99"/>
    <w:semiHidden/>
    <w:unhideWhenUsed/>
    <w:rsid w:val="004C4FFE"/>
    <w:rPr>
      <w:vertAlign w:val="superscript"/>
    </w:rPr>
  </w:style>
  <w:style w:type="character" w:styleId="affd">
    <w:name w:val="annotation reference"/>
    <w:semiHidden/>
    <w:unhideWhenUsed/>
    <w:rsid w:val="004C4FFE"/>
    <w:rPr>
      <w:sz w:val="16"/>
      <w:szCs w:val="16"/>
    </w:rPr>
  </w:style>
  <w:style w:type="character" w:styleId="affe">
    <w:name w:val="endnote reference"/>
    <w:semiHidden/>
    <w:unhideWhenUsed/>
    <w:rsid w:val="004C4FFE"/>
    <w:rPr>
      <w:vertAlign w:val="superscript"/>
    </w:rPr>
  </w:style>
  <w:style w:type="character" w:customStyle="1" w:styleId="apple-converted-space">
    <w:name w:val="apple-converted-space"/>
    <w:basedOn w:val="a0"/>
    <w:rsid w:val="004C4FFE"/>
  </w:style>
  <w:style w:type="table" w:styleId="afff">
    <w:name w:val="Table Grid"/>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Light List"/>
    <w:basedOn w:val="a1"/>
    <w:semiHidden/>
    <w:unhideWhenUsed/>
    <w:rsid w:val="004C4FFE"/>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9">
    <w:name w:val="Сетка таблицы1"/>
    <w:basedOn w:val="a1"/>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rsid w:val="004C4FF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rsid w:val="004C4FF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1"/>
    <w:rsid w:val="004C4FF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ветлый список1"/>
    <w:basedOn w:val="a1"/>
    <w:rsid w:val="004C4FFE"/>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50">
    <w:name w:val="Сетка таблицы5"/>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uiPriority w:val="59"/>
    <w:rsid w:val="004C4FF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uiPriority w:val="59"/>
    <w:rsid w:val="004C4FF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
    <w:name w:val="Сетка таблицы9"/>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rsid w:val="004C4FF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uiPriority w:val="59"/>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rsid w:val="004C4FF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2"/>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ветлый список2"/>
    <w:basedOn w:val="a1"/>
    <w:rsid w:val="004C4FFE"/>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етка таблицы111"/>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rsid w:val="004C4FF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
    <w:name w:val="Сетка таблицы3211"/>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ветлый список11"/>
    <w:basedOn w:val="a1"/>
    <w:rsid w:val="004C4FFE"/>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51">
    <w:name w:val="Сетка таблицы51"/>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rsid w:val="004C4FF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uiPriority w:val="59"/>
    <w:rsid w:val="004C4FF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1"/>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basedOn w:val="a1"/>
    <w:uiPriority w:val="59"/>
    <w:rsid w:val="004C4FF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2"/>
    <w:basedOn w:val="a1"/>
    <w:uiPriority w:val="59"/>
    <w:rsid w:val="004C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8344">
      <w:bodyDiv w:val="1"/>
      <w:marLeft w:val="0"/>
      <w:marRight w:val="0"/>
      <w:marTop w:val="0"/>
      <w:marBottom w:val="0"/>
      <w:divBdr>
        <w:top w:val="none" w:sz="0" w:space="0" w:color="auto"/>
        <w:left w:val="none" w:sz="0" w:space="0" w:color="auto"/>
        <w:bottom w:val="none" w:sz="0" w:space="0" w:color="auto"/>
        <w:right w:val="none" w:sz="0" w:space="0" w:color="auto"/>
      </w:divBdr>
    </w:div>
    <w:div w:id="92090838">
      <w:bodyDiv w:val="1"/>
      <w:marLeft w:val="0"/>
      <w:marRight w:val="0"/>
      <w:marTop w:val="0"/>
      <w:marBottom w:val="0"/>
      <w:divBdr>
        <w:top w:val="none" w:sz="0" w:space="0" w:color="auto"/>
        <w:left w:val="none" w:sz="0" w:space="0" w:color="auto"/>
        <w:bottom w:val="none" w:sz="0" w:space="0" w:color="auto"/>
        <w:right w:val="none" w:sz="0" w:space="0" w:color="auto"/>
      </w:divBdr>
    </w:div>
    <w:div w:id="577372519">
      <w:bodyDiv w:val="1"/>
      <w:marLeft w:val="0"/>
      <w:marRight w:val="0"/>
      <w:marTop w:val="0"/>
      <w:marBottom w:val="0"/>
      <w:divBdr>
        <w:top w:val="none" w:sz="0" w:space="0" w:color="auto"/>
        <w:left w:val="none" w:sz="0" w:space="0" w:color="auto"/>
        <w:bottom w:val="none" w:sz="0" w:space="0" w:color="auto"/>
        <w:right w:val="none" w:sz="0" w:space="0" w:color="auto"/>
      </w:divBdr>
    </w:div>
    <w:div w:id="99846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1845</Words>
  <Characters>10519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Данько Марина Викторовна</dc:creator>
  <cp:keywords/>
  <dc:description/>
  <cp:lastModifiedBy>Данько Марина Викторовна</cp:lastModifiedBy>
  <cp:revision>6</cp:revision>
  <cp:lastPrinted>2020-03-26T02:27:00Z</cp:lastPrinted>
  <dcterms:created xsi:type="dcterms:W3CDTF">2020-03-20T03:29:00Z</dcterms:created>
  <dcterms:modified xsi:type="dcterms:W3CDTF">2020-03-26T02:27:00Z</dcterms:modified>
</cp:coreProperties>
</file>